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88R7301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functional family therapy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32.04261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32.04261.</w:t>
      </w:r>
      <w:r>
        <w:rPr>
          <w:u w:val="single"/>
        </w:rPr>
        <w:t xml:space="preserve"> </w:t>
      </w:r>
      <w:r>
        <w:rPr>
          <w:u w:val="single"/>
        </w:rPr>
        <w:t xml:space="preserve"> </w:t>
      </w:r>
      <w:r>
        <w:rPr>
          <w:u w:val="single"/>
        </w:rPr>
        <w:t xml:space="preserve">REIMBURSEMENT FOR FUNCTIONAL FAMILY THERAPY SERVICES.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youth"</w:t>
      </w:r>
      <w:r>
        <w:rPr>
          <w:u w:val="single"/>
        </w:rPr>
        <w:t xml:space="preserve"> </w:t>
      </w:r>
      <w:r>
        <w:rPr>
          <w:u w:val="single"/>
        </w:rPr>
        <w:t xml:space="preserve">means children who are at risk of involvement with the child welfare system, the criminal justice system, or the juvenile justice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"Functional family therapy" means an intensive, short-term, family-based therapeutic treatment program for at-risk youth designed to improve family dynamics, communication, and support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core causes of dysfunctional behavior patterns;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decreasing negativity in the household;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tools to improve parental skills and relationships.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provider who provides functional family therapy services to a recipient under the medical assistance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