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88R7832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granting limited state law enforcement authority to National Aeronautics and Space Administration security personnel.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2.122,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National Aeronautics and Space Administration security personnel, including contractor security personnel who have completed the training required by the administration to serve in that capacity, are not peace officers under the laws of this state, but have the powers of arrest, search, and seizure, including the powers under Section 9.51, Penal Code, while in the performance of the personnel's duties: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property owned, leased, or controlled by the administration;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an agreement entered into with local law enforcement regarding an area surrounding property owned, leased, or controlled by the administration.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