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88R8299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2285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certain malt beverages between two or more licensed premises operating under the same general ownership or management.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62, Alcoholic Beverage Code, is amended by adding Section 62.085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62.085.</w:t>
      </w:r>
      <w:r>
        <w:rPr>
          <w:u w:val="single"/>
        </w:rPr>
        <w:t xml:space="preserve"> </w:t>
      </w:r>
      <w:r>
        <w:rPr>
          <w:u w:val="single"/>
        </w:rPr>
        <w:t xml:space="preserve"> </w:t>
      </w:r>
      <w:r>
        <w:rPr>
          <w:u w:val="single"/>
        </w:rPr>
        <w:t xml:space="preserve">TRANSFER OF MALT BEVERAGES.  (a)  The holder of a brewer's license may transfer malt beverages produced under the license between any of the license holder's licensed brewery premises, including a facility operating under an alternating brewery proprietorship or contract brewing arrangement as provided by Section 62.14, during the hours provided by Section 105.051, subject to rules prescribed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brewer's license may not transport malt beverages under Subsection (a)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 holder provides the commission with a description, as required by the commission, of each motor vehicle used by the license holder to transport malt beverages;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motor vehicle is plainly marked or lettered to indicate that it is being used by the license holder to transport malt beverages.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transporting malt beverages under this section, the holder of a brewer's license may not violate the motor carrier laws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Section 62.122, a malt beverage transported under this section is considered to be brewed on the premises to which the malt beverage is transported.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69.11, Alcoholic Beverage Code, is amended to read as follows:</w:t>
      </w:r>
    </w:p>
    <w:p w:rsidR="003F3435" w:rsidRDefault="0032493E">
      <w:pPr>
        <w:spacing w:line="480" w:lineRule="auto"/>
        <w:ind w:firstLine="720"/>
        <w:jc w:val="both"/>
      </w:pPr>
      <w:r>
        <w:t xml:space="preserve">Sec.</w:t>
      </w:r>
      <w:r xml:space="preserve">
        <w:t> </w:t>
      </w:r>
      <w:r>
        <w:t xml:space="preserve">69.11.</w:t>
      </w:r>
      <w:r xml:space="preserve">
        <w:t> </w:t>
      </w:r>
      <w:r xml:space="preserve">
        <w:t> </w:t>
      </w:r>
      <w:r>
        <w:t xml:space="preserve">EXCHANGE OR TRANSPORTATION OF MALT BEVERAGES BETWEEN LICENSED PREMISES UNDER SAME OWNERSHIP.  </w:t>
      </w:r>
      <w:r>
        <w:rPr>
          <w:u w:val="single"/>
        </w:rPr>
        <w:t xml:space="preserve">(a)  Except as provided by Subsection (b), the</w:t>
      </w:r>
      <w:r>
        <w:t xml:space="preserve"> [</w:t>
      </w:r>
      <w:r>
        <w:rPr>
          <w:strike/>
        </w:rPr>
        <w:t xml:space="preserve">The</w:t>
      </w:r>
      <w:r>
        <w:t xml:space="preserve">] owner of two or more licensed retail premises may not exchange or transport malt beverages between them</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Malt</w:t>
      </w:r>
      <w:r>
        <w:t xml:space="preserve"> [</w:t>
      </w:r>
      <w:r>
        <w:rPr>
          <w:strike/>
        </w:rPr>
        <w:t xml:space="preserve">unless all of the conditions set out in Section 24.04 are met, except that malt</w:t>
      </w:r>
      <w:r>
        <w:t xml:space="preserve">] beverages may be transferred between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licensed retail premises that are both covered by wine only package store permits as provided in Section 24.04;</w:t>
      </w:r>
    </w:p>
    <w:p w:rsidR="003F3435" w:rsidRDefault="0032493E">
      <w:pPr>
        <w:spacing w:line="480" w:lineRule="auto"/>
        <w:ind w:firstLine="1440"/>
        <w:jc w:val="both"/>
      </w:pPr>
      <w:r>
        <w:rPr>
          <w:u w:val="single"/>
        </w:rPr>
        <w:t xml:space="preserve">(2)</w:t>
      </w:r>
      <w:r xml:space="preserve">
        <w:t> </w:t>
      </w:r>
      <w:r xml:space="preserve">
        <w:t> </w:t>
      </w:r>
      <w:r>
        <w:t xml:space="preserve">two licensed retail premises that are both covered by package store permits as provided in Section 22.08</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licensed brewpubs operating under the same general management or ownership as provided in Section 74.12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74, Alcoholic Beverage Code, is amended by adding Section 74.12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74.12.</w:t>
      </w:r>
      <w:r>
        <w:rPr>
          <w:u w:val="single"/>
        </w:rPr>
        <w:t xml:space="preserve"> </w:t>
      </w:r>
      <w:r>
        <w:rPr>
          <w:u w:val="single"/>
        </w:rPr>
        <w:t xml:space="preserve"> </w:t>
      </w:r>
      <w:r>
        <w:rPr>
          <w:u w:val="single"/>
        </w:rPr>
        <w:t xml:space="preserve">TRANSFER OF BEVERAGES.  (a) The holder of a brewpub license operating more than one brewpub as authorized by Section 74.01(b) may transfer malt beverages brewed under the license between any of the license holder's brewpubs during the hours provided by Section 105.051, subject to rules prescribed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brewpub license may not transport malt beverages under Subsection (a)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 holder provides the commission with a description, as required by the commission, of each motor vehicle used by the license holder to transport malt beverages;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motor vehicle is plainly marked or lettered to indicate that it is being used by the license holder to transport malt beverages.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transporting malt beverages under this section, the holder of a brewpub license may not violate the motor carrier laws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Sections 74.03 and 74.08, a malt beverage transported under this section is considered to be brewed by the brewpub to which the malt beverage is transported.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