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2290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a venue for sexually oriented performances to provide certain content warnings.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17, Business &amp; Commerce Code, is amended by adding Subchapter M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M.  NOTICE REQUIREMENTS FOR CERTAIN ADULT ORIENTED BUSINESSES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17.975.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"Sexually oriented performance" means a visual performance that appeals to the prurient interest 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featuring a performer who is nude, as defined by Section 102.051, Business &amp; Commerce Code; or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featuring a male performer that exhibits as a female or a female performer that exhibits as a male using clothing, makeup, or other physical markers and signs, lip syncs, dances, or otherwise performs before an audience for entertainment.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"Sexually oriented performance venue" means a nightclub, bar, restaurant, or other commercial enterprise that provides for an audience of two or more individuals a sexually oriented performance.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17.976.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CONTENT WARNING REQUIRED.  A sexually oriented performance venue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post in a prominent place by each public entrance a sign conspicuously warning prospective patrons of the type and content of the scheduled sexually oriented performance, including whether the performance contains sexual content;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the warning in any advertisement for the performance, including any advertisement that appears on a social media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17.977.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DECEPTIVE TRADE PRACTICE.  A violation of Section 17.976 is a deceptive trade practice under Subchapter E, Chapter 17, and is actionable under that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January 1, 2024, a sexually oriented performance venue shall comply with Subchapter M, Chapter 17, Business &amp; Commerce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