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2292</w:t>
      </w:r>
    </w:p>
    <w:p w:rsidR="003F3435" w:rsidRDefault="0032493E">
      <w:pPr>
        <w:ind w:firstLine="720"/>
        <w:jc w:val="both"/>
      </w:pPr>
      <w:r>
        <w:t xml:space="preserve">(Murr)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 requirements for certain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25.0006(a-1) and (a-4),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Before beginning the duties of the office, the judge of a statutory county court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proceedings, as defined by Section 1002.015, Estates Code, or over probate proceedings, as defined by Section 22.029, Estates Code, not less than </w:t>
      </w:r>
      <w:r>
        <w:rPr>
          <w:u w:val="single"/>
        </w:rPr>
        <w:t xml:space="preserve">$500,000</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or probate proceedings, perform the duties required by the Estates Code.</w:t>
      </w:r>
    </w:p>
    <w:p w:rsidR="003F3435" w:rsidRDefault="0032493E">
      <w:pPr>
        <w:spacing w:line="480" w:lineRule="auto"/>
        <w:ind w:firstLine="720"/>
        <w:jc w:val="both"/>
      </w:pPr>
      <w:r>
        <w:t xml:space="preserve">(a-4)</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judge of a statutory county court who does not preside over guardianship proceedings, as defined by Section 1002.015, Estates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judge of a statutory probate court who executes a bond, obtains insurance, or self-insures pursuant to Section 25.00231;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judge who presides over a county criminal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beginning the duties of the office, the county judge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proceedings, as defined by Section 1002.015, Estates Code, or over probate proceedings, as defined by Section 22.029, Estates Code, not less than </w:t>
      </w:r>
      <w:r>
        <w:rPr>
          <w:u w:val="single"/>
        </w:rPr>
        <w:t xml:space="preserve">$500,000</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or probate proceedings, perform the duties required by the Estates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