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Zaffirini</w:t>
      </w:r>
      <w:r xml:space="preserve">
        <w:tab wTab="150" tlc="none" cTlc="0"/>
      </w:r>
      <w:r>
        <w:t xml:space="preserve">S.B.</w:t>
      </w:r>
      <w:r xml:space="preserve">
        <w:t> </w:t>
      </w:r>
      <w:r>
        <w:t xml:space="preserve">No.</w:t>
      </w:r>
      <w:r xml:space="preserve">
        <w:t> </w:t>
      </w:r>
      <w:r>
        <w:t xml:space="preserve">2294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First Early High School Completion Program and the Texas First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28.0253(a)(2),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w:t>
      </w:r>
      <w:r>
        <w:rPr>
          <w:strike/>
        </w:rPr>
        <w:t xml:space="preserve">that is designated as a research university or emerging research university under the coordinating board's accountability system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28.0253(e),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w:t>
      </w:r>
      <w:r>
        <w:rPr>
          <w:u w:val="single"/>
        </w:rPr>
        <w:t xml:space="preserve">shall allow a student to graduate and receive</w:t>
      </w:r>
      <w:r>
        <w:t xml:space="preserve"> [</w:t>
      </w:r>
      <w:r>
        <w:rPr>
          <w:strike/>
        </w:rPr>
        <w:t xml:space="preserve">may issue</w:t>
      </w:r>
      <w:r>
        <w:t xml:space="preserve">] a high school diploma [</w:t>
      </w:r>
      <w:r>
        <w:rPr>
          <w:strike/>
        </w:rPr>
        <w:t xml:space="preserve">to a student</w:t>
      </w:r>
      <w:r>
        <w:t xml:space="preserve">] under the program if, using the standards established under Subsection (c), the student demonstrates mastery of and early readiness for college in each of the subject areas described by that subsection and in a language other than English, notwithstanding any other local or state requirements.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56.221(2),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as that term is defined by Section 61.003[</w:t>
      </w:r>
      <w:r>
        <w:rPr>
          <w:strike/>
        </w:rPr>
        <w:t xml:space="preserve">, that is designated as a research university or emerging research university under the coordinating board's accountability system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