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88R14523 JON-D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2299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of constitutional or statutory provisions of this state that have been invalidated or otherwise limited by a state appellate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22, Government Code, is amended by adding Section 22.306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22.306.</w:t>
      </w:r>
      <w:r>
        <w:rPr>
          <w:u w:val="single"/>
        </w:rPr>
        <w:t xml:space="preserve"> </w:t>
      </w:r>
      <w:r>
        <w:rPr>
          <w:u w:val="single"/>
        </w:rPr>
        <w:t xml:space="preserve"> </w:t>
      </w:r>
      <w:r>
        <w:rPr>
          <w:u w:val="single"/>
        </w:rPr>
        <w:t xml:space="preserve">IDENTIFICATION OF CONSTITUTIONAL OR STATUTORY PROVISIONS INVALIDATED OR OTHERWISE LIMITED.  (a)  In this section, "office" means the Office of Court Administration of the Texas Judicial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issuing a decision, an appellate court of this state, including the supreme court and the court of criminal appeals, shall report the decision to the office in a manner prescribed by the office if the decision does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concludes that a constitutional provision of this state or a statute of this state conflicts wholly or partly with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concludes that a statute of this state conflicts wholly or partly with the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uses the statutory construction aids identified in Section 311.023 because a statute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facially ambiguous;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ambiguous as applied to the facts of the case;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concludes that two or more statutes of this state or two or more amendments to the same statute of this state are irreconcilable.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of each year, the office shall prepare and submit to the governor, the lieutenant governor, the speaker of the house of representatives, and the legislature an electronic report describing information received by the office under Subsection (b) for the period beginning July 1 of the previous year and ending June 30 of the year in which the report is issued.  The report must provide the following in a searchable and sortable format: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appellate court decision reported, information specifying: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caption;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case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court that issued the decision;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current status of the case;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citation to each constitutional provision or statute to which Subsection (b)(1), (2), (3), or (4) applies with an indication of which subdivision applies;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constitutional provision or statute to which Subsection (b)(1) applies, identification of each federal law that the appellate court determines is in conflict with the constitutional provision or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a statute to which Subsection (b)(2) applies, identification of each provision of the Texas Constitution that the appellate court determines is in conflict with the statute;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each constitutional provision or statute listed in the report that became law during the 40-year period before the date of the report, identification of the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legislative session;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resolution or bill number;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author;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sponsor.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publish the report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initial report required under Section 22.306, Government Code, as added by this Act, shall describe decisions issued by an appellate court for the period beginning on the effective date of this Act and ending June 30, 2024.</w:t>
      </w:r>
    </w:p>
    <w:p w:rsidR="003F3435" w:rsidRDefault="0032493E">
      <w:pPr>
        <w:spacing w:line="480" w:lineRule="auto"/>
        <w:ind w:firstLine="720"/>
        <w:jc w:val="both"/>
      </w:pPr>
      <w:r>
        <w:t xml:space="preserve">(b)</w:t>
      </w:r>
      <w:r xml:space="preserve">
        <w:t> </w:t>
      </w:r>
      <w:r xml:space="preserve">
        <w:t> </w:t>
      </w:r>
      <w:r>
        <w:t xml:space="preserve">Not later than October 1, 2024, and in collaboration with the Office of Court Administration of the Texas Judicial System, the Texas Legislative Council shall use publicly available reference materials to prepare an electronic report substantially similar to the report required under Section 22.306(c), Government Code, as added by this Act, for state appellate court decisions beginning June 1, 2019, and ending on the effective date of this Act.  The council shall post the report on its Internet website and notify the legislature of the report's availability.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