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88R10437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interfering with a motor fuel metering device or motor fuel unattended payment terminal and the prosecution of organized criminal activity involving that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 Penal Code, is amended by adding Section 16.021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16.021.</w:t>
      </w:r>
      <w:r>
        <w:rPr>
          <w:u w:val="single"/>
        </w:rPr>
        <w:t xml:space="preserve"> </w:t>
      </w:r>
      <w:r>
        <w:rPr>
          <w:u w:val="single"/>
        </w:rPr>
        <w:t xml:space="preserve"> </w:t>
      </w:r>
      <w:r>
        <w:rPr>
          <w:u w:val="single"/>
        </w:rPr>
        <w:t xml:space="preserve">INTERFERENCE WITH MOTOR FUEL METERING DEVICE OR MOTOR FUEL UNATTENDED PAYMENT TERMINAL.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fuel manipulation device" means a mechanism manufactured, assembled, or adapted to manipulate or alter a motor fuel metering device or a motor fuel unattended payment terminal for an unlawful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fuel metering device" has the meaning assigned by Section 2310.001,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"Motor fuel unattended payment terminal" has the meaning assigned by Section 607.001,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intercepts, disrupts, or otherwise interferes with the operation of or attempts to intercept, disrupt, or otherwise interfere with the operation of a motor fuel metering device or motor fuel unattended payment terminal;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modifies or attempts to modify a motor fuel metering device or motor fuel unattended payment terminal;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intentionally manufactures, assembles, possesses, sells, or attempts to sell a motor fuel manipulation device;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knowingly benefits from conduct described by Subdivision (1) or (2);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knowingly benefits from the sale of a motor fuel manipulation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Subsection (b)(3) for possession of a motor fuel manipulation device that the device is possessed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service technician, as defined by Section 2310.151, Occupations Code, acting in the course and scope of the technician's employment, as authorized by the technician's employer, the Texas Department of Licensing and Regulation, or a law enforcement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authorized representative of the Texas Department of Licensing and Regulation assigned to administer or enforce Chapter 2310, Occupations Code, acting in the course and scope of the employee's or representative's official duties;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officer while engaged in the actual discharge of the officer's official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u w:val="single"/>
        </w:rPr>
        <w:t xml:space="preserve">or 16.021</w:t>
      </w:r>
      <w:r>
        <w:t xml:space="preserve">;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