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2310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22,</w:t>
      </w:r>
      <w:r xml:space="preserve">
        <w:t> </w:t>
      </w:r>
      <w:r>
        <w:t xml:space="preserve">2023, read first time and referred to Committee on Finance; April</w:t>
      </w:r>
      <w:r xml:space="preserve">
        <w:t> </w:t>
      </w:r>
      <w:r>
        <w:t xml:space="preserve">4,</w:t>
      </w:r>
      <w:r xml:space="preserve">
        <w:t> </w:t>
      </w:r>
      <w:r>
        <w:t xml:space="preserve">2023, reported favorably by the following vote:</w:t>
      </w:r>
      <w:r>
        <w:t xml:space="preserve"> </w:t>
      </w:r>
      <w:r>
        <w:t xml:space="preserve"> </w:t>
      </w:r>
      <w:r>
        <w:t xml:space="preserve">Yeas 17,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longevity pay for certain prosecutors.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41.013, Government Code, is amended to read as follows:</w:t>
      </w:r>
    </w:p>
    <w:p w:rsidR="003F3435" w:rsidRDefault="0032493E">
      <w:pPr>
        <w:spacing w:line="480" w:lineRule="auto"/>
        <w:ind w:firstLine="720"/>
        <w:jc w:val="both"/>
      </w:pPr>
      <w:r>
        <w:t xml:space="preserve">Sec.</w:t>
      </w:r>
      <w:r xml:space="preserve">
        <w:t> </w:t>
      </w:r>
      <w:r>
        <w:t xml:space="preserve">41.013.</w:t>
      </w:r>
      <w:r xml:space="preserve">
        <w:t> </w:t>
      </w:r>
      <w:r xml:space="preserve">
        <w:t> </w:t>
      </w:r>
      <w:r>
        <w:t xml:space="preserve">COMPENSATION OF CERTAIN PROSECUTORS. </w:t>
      </w:r>
      <w:r>
        <w:t xml:space="preserve"> </w:t>
      </w:r>
      <w:r>
        <w:t xml:space="preserve">Except as otherwise provided by law, a district attorney or criminal district attorney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annual compensation in an amount equal to at least 80 percent of the state annual salary as set by the General Appropriations Act in accordance with Section 659.012 paid to a district judge with comparable years of service as the district attorney or criminal district attorney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district attorney's or criminal district attorney's years of service that would be paid to the district attorney or criminal district attorney under Section 659.0445 if the district attorney or criminal district attorney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prosecuting attorney and each state prosecutor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salary in an amount equal to the state annual salary as set by the General Appropriations Act in accordance with Section 659.012 paid to a district judge with comparable years of service as the state prosecuting attorney or state prosecutor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state prosecuting attorney's or state prosecutor's years of service that would be paid to the state prosecuting attorney or state prosecutor under Section 659.0445 if the state prosecuting attorney or state prosecutor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41.013 and 46.003(a), Government Code, as amended by this Act, apply beginning with the first pay period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