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2023S0282-T  03/09/23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commissioner of education to resolve unintended consequences from school finance formulas.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48.011,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(d), the commissioner may adjust a school district's funding entitlement under this chapter if the funding formulas used to determine the district's entitlement result in an unanticipated loss or gain for a district.</w:t>
      </w:r>
    </w:p>
    <w:p w:rsidR="003F3435" w:rsidRDefault="0032493E">
      <w:pPr>
        <w:spacing w:line="480" w:lineRule="auto"/>
        <w:ind w:firstLine="720"/>
        <w:jc w:val="both"/>
      </w:pPr>
      <w:r>
        <w:t xml:space="preserve">(a-1)</w:t>
      </w:r>
      <w:r xml:space="preserve">
        <w:t> </w:t>
      </w:r>
      <w:r xml:space="preserve">
        <w:t> </w:t>
      </w:r>
      <w:r>
        <w:t xml:space="preserve">The commissioner may modify dates relating to the adoption of a school district's maintenance and operations tax rate and, if applicable, an election required for the district to adopt that rate as necessary to implement the changes made by H.B. 3, 86th Legislature, Regular Session, 2019.</w:t>
      </w:r>
    </w:p>
    <w:p w:rsidR="003F3435" w:rsidRDefault="0032493E">
      <w:pPr>
        <w:spacing w:line="480" w:lineRule="auto"/>
        <w:ind w:firstLine="720"/>
        <w:jc w:val="both"/>
      </w:pPr>
      <w:r>
        <w:t xml:space="preserve">(b)</w:t>
      </w:r>
      <w:r xml:space="preserve">
        <w:t> </w:t>
      </w:r>
      <w:r xml:space="preserve">
        <w:t> </w:t>
      </w:r>
      <w:r>
        <w:t xml:space="preserve">Before making an adjustment under Subsection (a) or (a-1), the commissioner shall notify and must receive approval from the Legislative Budget Board and the office of the governor.</w:t>
      </w:r>
    </w:p>
    <w:p w:rsidR="003F3435" w:rsidRDefault="0032493E">
      <w:pPr>
        <w:spacing w:line="480" w:lineRule="auto"/>
        <w:ind w:firstLine="720"/>
        <w:jc w:val="both"/>
      </w:pPr>
      <w:r>
        <w:t xml:space="preserve">(c)</w:t>
      </w:r>
      <w:r xml:space="preserve">
        <w:t> </w:t>
      </w:r>
      <w:r xml:space="preserve">
        <w:t> </w:t>
      </w:r>
      <w:r>
        <w:t xml:space="preserve">If the commissioner makes an adjustment under Subsection (a), the commissioner must provide to the legislature an explanation regarding the changes necessary to resolve the unintended consequences.</w:t>
      </w:r>
    </w:p>
    <w:p w:rsidR="003F3435" w:rsidRDefault="0032493E">
      <w:pPr>
        <w:spacing w:line="480" w:lineRule="auto"/>
        <w:ind w:firstLine="720"/>
        <w:jc w:val="both"/>
      </w:pPr>
      <w:r>
        <w:t xml:space="preserve">(d)</w:t>
      </w:r>
      <w:r xml:space="preserve">
        <w:t> </w:t>
      </w:r>
      <w:r xml:space="preserve">
        <w:t> </w:t>
      </w:r>
      <w:r>
        <w:t xml:space="preserve">Beginning with the [</w:t>
      </w:r>
      <w:r>
        <w:rPr>
          <w:strike/>
        </w:rPr>
        <w:t xml:space="preserve">2021-2022</w:t>
      </w:r>
      <w:r>
        <w:t xml:space="preserve">] </w:t>
      </w:r>
      <w:r>
        <w:rPr>
          <w:u w:val="single"/>
        </w:rPr>
        <w:t xml:space="preserve">2023-2024</w:t>
      </w:r>
      <w:r>
        <w:t xml:space="preserve"> school year, the commissioner may not make an adjustment under Subsection (a) or (a-1).</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strike/>
        </w:rPr>
        <w:t xml:space="preserve">2023</w:t>
      </w:r>
      <w:r>
        <w:t xml:space="preserve">] </w:t>
      </w:r>
      <w:r>
        <w:rPr>
          <w:u w:val="single"/>
        </w:rPr>
        <w:t xml:space="preserve">2025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enacted by this Act apply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