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2314</w:t>
      </w:r>
    </w:p>
    <w:p w:rsidR="003F3435" w:rsidRDefault="0032493E">
      <w:pPr>
        <w:ind w:firstLine="720"/>
        <w:jc w:val="both"/>
      </w:pPr>
      <w:r>
        <w:t xml:space="preserve">(VanDeaver)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membership interest in a limited liability company subject to a charging order.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101.112, Business Organizations Code, is amended by adding Subsection (g)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applies to both single-member limited liability companies and multiple-member limited liability companies.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is intended only to clarify existing law with respect to the applicability of charging orders to limited liability companies.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2314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