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88R9522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(d-1), continuing</w:t>
      </w:r>
      <w:r>
        <w:t xml:space="preserve"> [</w:t>
      </w:r>
      <w:r>
        <w:rPr>
          <w:strike/>
        </w:rPr>
        <w:t xml:space="preserve">Continuing</w:t>
      </w:r>
      <w:r>
        <w:t xml:space="preserve">] education requirements for a classroom teacher </w:t>
      </w:r>
      <w:r>
        <w:rPr>
          <w:u w:val="single"/>
        </w:rPr>
        <w:t xml:space="preserve">may not require</w:t>
      </w:r>
      <w:r>
        <w:t xml:space="preserve"> [</w:t>
      </w:r>
      <w:r>
        <w:rPr>
          <w:strike/>
        </w:rPr>
        <w:t xml:space="preserve">must provide</w:t>
      </w:r>
      <w:r>
        <w:t xml:space="preserve">] that [</w:t>
      </w:r>
      <w:r>
        <w:rPr>
          <w:strike/>
        </w:rPr>
        <w:t xml:space="preserve">not</w:t>
      </w:r>
      <w:r>
        <w:t xml:space="preserve">] more than [</w:t>
      </w:r>
      <w:r>
        <w:rPr>
          <w:strike/>
        </w:rPr>
        <w:t xml:space="preserve">at least</w:t>
      </w:r>
      <w:r>
        <w:t xml:space="preserve">]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students who are eligible to participate in special education programs under Subchapter A, Chapter 29;</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who are eligible to receive educational services required under Section 504, Rehabilitation Act of 1973 (29 U.S.C. Section 794);</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with mental health conditions or who engage in substance abuse;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students with intellectual or developmental disabilities;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students who are educationally disadvantaged;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emergent bilingual students;</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(G)</w:t>
      </w:r>
      <w:r>
        <w:t xml:space="preserve">]</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 [</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how mental health conditions, including grief and trauma, affect student learning and behavior and how evidence-based, grief-informed, and trauma-informed strategies support the academic success of students affected by grief and trauma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r>
        <w:t xml:space="preserve"> </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