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88R8633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2323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state property by state officers and employees.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2203.004, Government Code, is amended to read as follows:</w:t>
      </w:r>
    </w:p>
    <w:p w:rsidR="003F3435" w:rsidRDefault="0032493E">
      <w:pPr>
        <w:spacing w:line="480" w:lineRule="auto"/>
        <w:ind w:firstLine="720"/>
        <w:jc w:val="both"/>
      </w:pPr>
      <w:r>
        <w:t xml:space="preserve">Sec.</w:t>
      </w:r>
      <w:r xml:space="preserve">
        <w:t> </w:t>
      </w:r>
      <w:r>
        <w:t xml:space="preserve">2203.004.</w:t>
      </w:r>
      <w:r xml:space="preserve">
        <w:t> </w:t>
      </w:r>
      <w:r xml:space="preserve">
        <w:t> </w:t>
      </w:r>
      <w:r>
        <w:t xml:space="preserve">REQUIREMENT TO USE STATE PROPERTY FOR STATE PURPOSES.  </w:t>
      </w:r>
      <w:r>
        <w:rPr>
          <w:u w:val="single"/>
        </w:rPr>
        <w:t xml:space="preserve">(a)  Except as provided by Subsection (b), state</w:t>
      </w:r>
      <w:r>
        <w:t xml:space="preserve"> [</w:t>
      </w:r>
      <w:r>
        <w:rPr>
          <w:strike/>
        </w:rPr>
        <w:t xml:space="preserve">State</w:t>
      </w:r>
      <w:r>
        <w:t xml:space="preserve">] property may be used only for state purposes.  A person may not entrust state property to a state officer or employee or to any other person if the property is not to be used for state purposes.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officer or employee may use state property for personal purposes only to the extent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use: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negligible, including use that would cause only ordinary wear and tear;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substantially damage state property;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involve a significant intrusion into the officer's or employee's actual work time;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serve a commercial purpose;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state property being used is telephone or computer services, the officer or employee reimburses the state for any additional costs resulting from the use, such as charges for personal long-distance phone calls;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state property being used is not described by Subdivision (2), the use causes only a negligible expense, such as the use of small amounts of office supplies.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prohibit a state agency from adopting more stringent rules or regulations governing state officer or employee use of state property.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using state property, a state officer or employee shall protect and conserve the property to the extent practicable and perform the officer's or employee's duties in good faith.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