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88R5858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Gutierrez, Menéndez</w:t>
      </w:r>
      <w:r xml:space="preserve">
        <w:tab wTab="150" tlc="none" cTlc="0"/>
      </w:r>
      <w:r>
        <w:t xml:space="preserve">S.B.</w:t>
      </w:r>
      <w:r xml:space="preserve">
        <w:t> </w:t>
      </w:r>
      <w:r>
        <w:t xml:space="preserve">No.</w:t>
      </w:r>
      <w:r xml:space="preserve">
        <w:t> </w:t>
      </w:r>
      <w:r>
        <w:t xml:space="preserve">2328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occupancy preferences given by developments supported with a low income housing tax credit allocation.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2306.6701, Government Code, is amended to read as follows:</w:t>
      </w:r>
    </w:p>
    <w:p w:rsidR="003F3435" w:rsidRDefault="0032493E">
      <w:pPr>
        <w:spacing w:line="480" w:lineRule="auto"/>
        <w:ind w:firstLine="720"/>
        <w:jc w:val="both"/>
      </w:pPr>
      <w:r>
        <w:t xml:space="preserve">Sec.</w:t>
      </w:r>
      <w:r xml:space="preserve">
        <w:t> </w:t>
      </w:r>
      <w:r>
        <w:t xml:space="preserve">2306.6701.</w:t>
      </w:r>
      <w:r xml:space="preserve">
        <w:t> </w:t>
      </w:r>
      <w:r xml:space="preserve">
        <w:t> </w:t>
      </w:r>
      <w:r>
        <w:t xml:space="preserve">PURPOSE.  </w:t>
      </w:r>
      <w:r>
        <w:rPr>
          <w:u w:val="single"/>
        </w:rPr>
        <w:t xml:space="preserve">(a)</w:t>
      </w:r>
      <w:r>
        <w:t xml:space="preserve">  The department shall administer the low income housing tax credit program to:</w:t>
      </w:r>
    </w:p>
    <w:p w:rsidR="003F3435" w:rsidRDefault="0032493E">
      <w:pPr>
        <w:spacing w:line="480" w:lineRule="auto"/>
        <w:ind w:firstLine="1440"/>
        <w:jc w:val="both"/>
      </w:pPr>
      <w:r>
        <w:t xml:space="preserve">(1)</w:t>
      </w:r>
      <w:r xml:space="preserve">
        <w:t> </w:t>
      </w:r>
      <w:r xml:space="preserve">
        <w:t> </w:t>
      </w:r>
      <w:r>
        <w:t xml:space="preserve">encourage the development and preservation of appropriate types of rental housing for households</w:t>
      </w:r>
      <w:r>
        <w:rPr>
          <w:u w:val="single"/>
        </w:rPr>
        <w:t xml:space="preserve">, including members of a group specified by Subsection (b),</w:t>
      </w:r>
      <w:r>
        <w:t xml:space="preserve"> that have difficulty finding suitable, affordable rental housing in the private marketplace;</w:t>
      </w:r>
    </w:p>
    <w:p w:rsidR="003F3435" w:rsidRDefault="0032493E">
      <w:pPr>
        <w:spacing w:line="480" w:lineRule="auto"/>
        <w:ind w:firstLine="1440"/>
        <w:jc w:val="both"/>
      </w:pPr>
      <w:r>
        <w:t xml:space="preserve">(2)</w:t>
      </w:r>
      <w:r xml:space="preserve">
        <w:t> </w:t>
      </w:r>
      <w:r xml:space="preserve">
        <w:t> </w:t>
      </w:r>
      <w:r>
        <w:t xml:space="preserve">maximize the number of suitable, affordable residential rental units added to the state's housing supply;</w:t>
      </w:r>
    </w:p>
    <w:p w:rsidR="003F3435" w:rsidRDefault="0032493E">
      <w:pPr>
        <w:spacing w:line="480" w:lineRule="auto"/>
        <w:ind w:firstLine="1440"/>
        <w:jc w:val="both"/>
      </w:pPr>
      <w:r>
        <w:t xml:space="preserve">(3)</w:t>
      </w:r>
      <w:r xml:space="preserve">
        <w:t> </w:t>
      </w:r>
      <w:r xml:space="preserve">
        <w:t> </w:t>
      </w:r>
      <w:r>
        <w:t xml:space="preserve">prevent losses for any reason to the state's supply of suitable, affordable residential rental units by enabling the rehabilitation of rental housing or by providing other preventive financial support under this subchapter; and</w:t>
      </w:r>
    </w:p>
    <w:p w:rsidR="003F3435" w:rsidRDefault="0032493E">
      <w:pPr>
        <w:spacing w:line="480" w:lineRule="auto"/>
        <w:ind w:firstLine="1440"/>
        <w:jc w:val="both"/>
      </w:pPr>
      <w:r>
        <w:t xml:space="preserve">(4)</w:t>
      </w:r>
      <w:r xml:space="preserve">
        <w:t> </w:t>
      </w:r>
      <w:r xml:space="preserve">
        <w:t> </w:t>
      </w:r>
      <w:r>
        <w:t xml:space="preserve">provide for the participation of for-profit organizations and provide for and encourage the participation of nonprofit organizations in the acquisition, development, and operation of affordable housing developments in urban and rural communities.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Consistent with Section 42(g)(9), Internal Revenue Code of 1986, a development supported with a housing tax credit allocation may give an occupancy preference to teachers and other employees of the school district in which the development is located, and members of the households of those persons, if all other occupancy requirements under state and federal law are satisfied.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2024 qualified allocation plan or a subsequent plan adopted by the governing board of the department under Section 2306.67022, Government Code.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