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88R2259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2329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daylight saving time.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312.016,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state shall observe daylight saving time year-round. </w:t>
      </w:r>
      <w:r>
        <w:rPr>
          <w:u w:val="single"/>
        </w:rPr>
        <w:t xml:space="preserve"> </w:t>
      </w:r>
      <w:r>
        <w:rPr>
          <w:u w:val="single"/>
        </w:rPr>
        <w:t xml:space="preserve">This subsection applies to both the portion of this state using central standard time as the official standard time and the portion of this state using mountain standard time as the official standard time.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a court finds that the State of Texas is not authorized by federal law to implement Section 312.016(d), Government Code, as added by this Act, Section 312.016(d), Government Code, as added by this Act, has full force and effect on the date the United States Congress enacts legislation that becomes law that authorizes the State of Texas to observe daylight saving time year-round.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