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88R12203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election to approve the issuance of bonds or other debt.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 Election Code, is amended to read as follows:</w:t>
      </w:r>
    </w:p>
    <w:p w:rsidR="003F3435" w:rsidRDefault="0032493E">
      <w:pPr>
        <w:spacing w:line="480" w:lineRule="auto"/>
        <w:jc w:val="center"/>
      </w:pPr>
      <w:r>
        <w:t xml:space="preserve">CHAPTER 2. </w:t>
      </w:r>
      <w:r>
        <w:t xml:space="preserve"> </w:t>
      </w:r>
      <w:r>
        <w:t xml:space="preserve">VOTE REQUIRED FOR ELECTION [</w:t>
      </w:r>
      <w:r>
        <w:rPr>
          <w:strike/>
        </w:rPr>
        <w:t xml:space="preserve">TO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 Election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SUPERMAJORITY REQUIREMENT FOR CERTAIN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w:t>
      </w:r>
      <w:r>
        <w:rPr>
          <w:u w:val="single"/>
        </w:rPr>
        <w:t xml:space="preserve"> </w:t>
      </w:r>
      <w:r>
        <w:rPr>
          <w:u w:val="single"/>
        </w:rPr>
        <w:t xml:space="preserve"> </w:t>
      </w:r>
      <w:r>
        <w:rPr>
          <w:u w:val="single"/>
        </w:rPr>
        <w:t xml:space="preserve">CERTAIN POLITICAL SUBDIVISION ELECTIONS.  Notwithstanding any other law, an election held by a political subdivision to authorize the issuance of bonds or other debt does not authorize the issuance of bonds or other debt unless at least two-thirds of the voters voting on the proposition authorizing the issuance of bonds or other debt vote in favor of the proposition.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 Election Code, is amended by adding Section 41.0051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41.0051.</w:t>
      </w:r>
      <w:r>
        <w:rPr>
          <w:u w:val="single"/>
        </w:rPr>
        <w:t xml:space="preserve"> </w:t>
      </w:r>
      <w:r>
        <w:rPr>
          <w:u w:val="single"/>
        </w:rPr>
        <w:t xml:space="preserve"> </w:t>
      </w:r>
      <w:r>
        <w:rPr>
          <w:u w:val="single"/>
        </w:rPr>
        <w:t xml:space="preserve">PROPOSITION FOR APPROVAL OF ISSUANCE OF BONDS OR OTHER DEBT. </w:t>
      </w:r>
      <w:r>
        <w:rPr>
          <w:u w:val="single"/>
        </w:rPr>
        <w:t xml:space="preserve"> </w:t>
      </w:r>
      <w:r>
        <w:rPr>
          <w:u w:val="single"/>
        </w:rPr>
        <w:t xml:space="preserve">(a) </w:t>
      </w:r>
      <w:r>
        <w:rPr>
          <w:u w:val="single"/>
        </w:rPr>
        <w:t xml:space="preserve"> </w:t>
      </w:r>
      <w:r>
        <w:rPr>
          <w:u w:val="single"/>
        </w:rPr>
        <w:t xml:space="preserve">A proposition for approval of the issuance of bonds or other debt shall be submitted to the voters in an election held on the November uniform election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41.0011, a proposition described by Subsection (a) may not be submitted to the voters in an election held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law outside this code requires a proposition described by Subsection (a) to be submitted to the voters in an election held on a date other than the November uniform election date, the authority administering the election shall set the election date to comply with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election ordered on or after the effective date of this Act. An election ordered before the effective date of this Act is governed by the law in effect when the election was ordered.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