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88R9486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bilingual education allotment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each student in average daily attendance in a bilingual education or special language program under Subchapter B, Chapter 29, a district is entitled to an annual allotment equal to the basic allotment multiplied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an emergent bilingual student, as defined by Section 29.052: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0.1;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0.15 if the student is in a bilingual education program using a dual language immersion/one-way or two-way program model;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a student not described by Subdivision (1), 0.05 if the student is in a bilingual education program using a dual language </w:t>
      </w:r>
      <w:r>
        <w:rPr>
          <w:u w:val="single"/>
        </w:rPr>
        <w:t xml:space="preserve">immersion/one-way or two-way</w:t>
      </w:r>
      <w:r>
        <w:t xml:space="preserve"> [</w:t>
      </w:r>
      <w:r>
        <w:rPr>
          <w:strike/>
        </w:rPr>
        <w:t xml:space="preserve">immersion/two-way</w:t>
      </w:r>
      <w:r>
        <w:t xml:space="preserve">] program model.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