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2342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bullying prevention in public schools, including the establishment of a bullying prevention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Subchapter C, Chapter 37, Education Code, is amended by adding Sections 37.0833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37.0833.</w:t>
      </w:r>
      <w:r>
        <w:rPr>
          <w:u w:val="single"/>
        </w:rPr>
        <w:t xml:space="preserve"> </w:t>
      </w:r>
      <w:r>
        <w:rPr>
          <w:u w:val="single"/>
        </w:rPr>
        <w:t xml:space="preserve"> </w:t>
      </w:r>
      <w:r>
        <w:rPr>
          <w:u w:val="single"/>
        </w:rPr>
        <w:t xml:space="preserve">BULLYING PREVENTION PILOT PROGRAM. (a) In this section, "bullying" has the meaning assigned by Section  37.0832.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a bullying prevention pilot program to help reduce incidents of  bullying in public schools.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bullying prevention program under Subsection (b), the commissioner may collaborate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qualified experts and researchers in the areas of child and youth wellbeing, mental health, and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appropriate stakeholders.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Using funds appropriated for that purpose, the  commissioner shall establish and administer a grant program under which a school district that demonstrates a substantial need for bullying prevention may receive a grant to implement the bullying prevention pilot program at no more than three campuses within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establish application criteria for receipt of a grant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establish allowable uses of grant funds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use funds allocated for the grant program under this section to provide technical assistance to grant recipients under this section, including through regional education service centers.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may use funds otherwise available, including funds provided through grants or donations sought and accepted by the agency, to implement this section. If funds are not appropriated to implement this section, the commissioner is  not required to implement the provisions of this section.</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