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88R14636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2359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intellectual disabilities and complex medical needs community support pilot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531.0997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531.0997.</w:t>
      </w:r>
      <w:r>
        <w:rPr>
          <w:u w:val="single"/>
        </w:rPr>
        <w:t xml:space="preserve"> </w:t>
      </w:r>
      <w:r>
        <w:rPr>
          <w:u w:val="single"/>
        </w:rPr>
        <w:t xml:space="preserve"> </w:t>
      </w:r>
      <w:r>
        <w:rPr>
          <w:u w:val="single"/>
        </w:rPr>
        <w:t xml:space="preserve">INTELLECTUAL DISABILITIES AND COMPLEX MEDICAL NEEDS COMMUNITY SUPPORT PILOT PROGRAM; REPORT ON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"Adult with a disability"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an intelligence quotient of 69 or below;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an intelligence quotient of 75 or below and: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mild to severe deficits in adaptive behavior;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chronic or acute medical condition that requires continuous or frequent medical intervention;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need for substantial assistance in meeting daily living needs.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"Group home" means a residential facility that provides support services to not more than four individuals with a disability.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"Intentional community" means a voluntary residential community that is designed to support a shared way of life and may include a cooperative housing community.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"Pilot program" means the intellectual disabilities and complex medical needs community support pilot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develop and implement a pilot program to award grants to nonprofit organizations for the purpose of increasing community-based housing options for adults who have a disability and complex medical needs by providing housing in intentional communities or group homes and community support.  The program must be operated in two regions of this state, as determined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adult with a disability is eligible to receive housing in an intentional community or group home operated by a nonprofit organization under the pilot program if the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resident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at least 18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 Medicaid recipient or is eligible to receive Medicaid;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considered medically fragile, as defined by commission rule;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meets any other eligibility criteria the commission establishes.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award grants to eligible nonprofit organizations that serve local intellectual and developmental disability authorities according to commission rules.  Grant money awarded under the program may only be used by an organization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housing and services to adults with a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 an organization's costs related to participating in the program, including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costs of the construction of a group home or a residential home within an intentional community;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costs of the renovation of a group home or a residential home within an intentional community;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costs of recruiting and training employees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operate a group home or residential home within an intentional community;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provide services to an adult with a disability living in the home;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supplemental costs of health care services provided by a licensed health care professional to an adult with a disability living in a home;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the extent allowed by federal law, provide Medicaid reimbursement at a rate set by the executive commissioner by rule for the recruitment and training of employees described by Subdivision (2)(C) and health care services provided under the pilot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November 1, 2028,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 the effectiveness of the pilot program, considering: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quality of the homes provided;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quality of accessibility;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number of adults with a disability served by a nonprofit organization;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quality of care provided by the organizations;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whether the program is cost-effective;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how the program is integrated into the community;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satisfaction of program participants;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a written report providing an evaluation of the pilot program and a recommendation regarding whether the program should be continued, modified, or terminated to the governor, the lieutenant governor, and the standing committees of the senate and house of representatives having primary jurisdiction over Medicaid.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pilot program terminates and this section expires September 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Health and Human Services Commission shall adopt rules necessary to implement Section 531.0997,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