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88R7525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Educational Opportunity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56.407(g), Education Code, is amended to read as follows:</w:t>
      </w:r>
    </w:p>
    <w:p w:rsidR="003F3435" w:rsidRDefault="0032493E">
      <w:pPr>
        <w:spacing w:line="480" w:lineRule="auto"/>
        <w:ind w:firstLine="720"/>
        <w:jc w:val="both"/>
      </w:pPr>
      <w:r>
        <w:t xml:space="preserve">(g)</w:t>
      </w:r>
      <w:r xml:space="preserve">
        <w:t> </w:t>
      </w:r>
      <w:r xml:space="preserve">
        <w:t> </w:t>
      </w:r>
      <w:r>
        <w:t xml:space="preserve">An institution may use other available sources of financial aid, other than a loan [</w:t>
      </w:r>
      <w:r>
        <w:rPr>
          <w:strike/>
        </w:rPr>
        <w:t xml:space="preserve">or a Pell grant</w:t>
      </w:r>
      <w:r>
        <w:t xml:space="preserve">], to cover any difference in the amount of a grant under this subchapter and the actual amount of tuition and required fees at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56.407(g), Education Code, applies beginning with Texas Educational Opportunity Grants awarded for the 2024 fall semester. </w:t>
      </w:r>
      <w:r>
        <w:t xml:space="preserve"> </w:t>
      </w:r>
      <w:r>
        <w:t xml:space="preserve">Grants awarded for a semester or term before the 2024 fall semester are governed by the applicable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