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Education; April</w:t>
      </w:r>
      <w:r xml:space="preserve">
        <w:t> </w:t>
      </w:r>
      <w:r>
        <w:t xml:space="preserve">17,</w:t>
      </w:r>
      <w:r xml:space="preserve">
        <w:t> </w:t>
      </w:r>
      <w:r>
        <w:t xml:space="preserve">2023, reported favorably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recommendations by local school health advisory councils regarding opioid addiction and abuse education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w:t>
      </w:r>
      <w:r>
        <w:rPr>
          <w:u w:val="single"/>
        </w:rPr>
        <w:t xml:space="preserve">the dangers of opioids, including instruction on:</w:t>
      </w:r>
    </w:p>
    <w:p w:rsidR="003F3435" w:rsidRDefault="0032493E">
      <w:pPr>
        <w:spacing w:line="480" w:lineRule="auto"/>
        <w:ind w:firstLine="2160"/>
        <w:jc w:val="both"/>
      </w:pPr>
      <w:r>
        <w:rPr>
          <w:u w:val="single"/>
        </w:rPr>
        <w:t xml:space="preserve">(A)</w:t>
      </w:r>
      <w:r xml:space="preserve">
        <w:t> </w:t>
      </w:r>
      <w:r xml:space="preserve">
        <w:t> </w:t>
      </w:r>
      <w:r>
        <w:t xml:space="preserve">opioid addiction and abuse</w:t>
      </w:r>
      <w:r>
        <w:rPr>
          <w:u w:val="single"/>
        </w:rPr>
        <w:t xml:space="preserve">, including addiction to and abuse of synthetic opioids such as fentanyl;</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methods of administering an opioid antagonist, as defined by Section 483.101, Health and Safety Code; and</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