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2383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severe weather adaptation plan by certain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Health and Safety Code, is amended by adding Chapter 393 to read as follows:</w:t>
      </w:r>
    </w:p>
    <w:p w:rsidR="003F3435" w:rsidRDefault="0032493E">
      <w:pPr>
        <w:spacing w:line="480" w:lineRule="auto"/>
        <w:jc w:val="center"/>
      </w:pPr>
      <w:r>
        <w:rPr>
          <w:u w:val="single"/>
        </w:rPr>
        <w:t xml:space="preserve">CHAPTER 393. SEVERE WEATHER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393.001.</w:t>
      </w:r>
      <w:r>
        <w:rPr>
          <w:u w:val="single"/>
        </w:rPr>
        <w:t xml:space="preserve"> </w:t>
      </w:r>
      <w:r>
        <w:rPr>
          <w:u w:val="single"/>
        </w:rPr>
        <w:t xml:space="preserve"> </w:t>
      </w:r>
      <w:r>
        <w:rPr>
          <w:u w:val="single"/>
        </w:rPr>
        <w:t xml:space="preserve">PARTICIPATING ENTITIES.  Not later than September 1 of each even-numbered year, each of the following entities shall publish a severe weather adaptation plan that will assess the entity's role with respect to severe weather:</w:t>
      </w:r>
    </w:p>
    <w:p w:rsidR="003F3435" w:rsidRDefault="0032493E">
      <w:pPr>
        <w:spacing w:line="480" w:lineRule="auto"/>
        <w:ind w:firstLine="1440"/>
        <w:jc w:val="both"/>
      </w:pPr>
      <w:r>
        <w:t xml:space="preserve">(1)</w:t>
      </w:r>
      <w:r>
        <w:rPr>
          <w:u w:val="single"/>
        </w:rPr>
        <w:t xml:space="preserve"> </w:t>
      </w:r>
      <w:r>
        <w:rPr>
          <w:u w:val="single"/>
        </w:rPr>
        <w:t xml:space="preserve"> </w:t>
      </w:r>
      <w:r>
        <w:rPr>
          <w:u w:val="single"/>
        </w:rPr>
        <w:t xml:space="preserve">the Texas Division of Emergency Management;</w:t>
      </w:r>
    </w:p>
    <w:p w:rsidR="003F3435" w:rsidRDefault="0032493E">
      <w:pPr>
        <w:spacing w:line="480" w:lineRule="auto"/>
        <w:ind w:firstLine="1440"/>
        <w:jc w:val="both"/>
      </w:pPr>
      <w:r>
        <w:t xml:space="preserve">(2)</w:t>
      </w:r>
      <w:r>
        <w:rPr>
          <w:u w:val="single"/>
        </w:rPr>
        <w:t xml:space="preserve"> </w:t>
      </w:r>
      <w:r>
        <w:rPr>
          <w:u w:val="single"/>
        </w:rPr>
        <w:t xml:space="preserve"> </w:t>
      </w:r>
      <w:r>
        <w:rPr>
          <w:u w:val="single"/>
        </w:rPr>
        <w:t xml:space="preserve">the Department of Agriculture;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independent organization certified under Section 39.151, Utilities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Commission on Environmental Quality;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Health and Human Services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Department of Insurance;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Department of Public Safety of the State of Texas;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Public Utility Commission of Texas;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office of the comptroller;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Texas Forest Service;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Texas Water Development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393.002.</w:t>
      </w:r>
      <w:r>
        <w:rPr>
          <w:u w:val="single"/>
        </w:rPr>
        <w:t xml:space="preserve"> </w:t>
      </w:r>
      <w:r>
        <w:rPr>
          <w:u w:val="single"/>
        </w:rPr>
        <w:t xml:space="preserve"> </w:t>
      </w:r>
      <w:r>
        <w:rPr>
          <w:u w:val="single"/>
        </w:rPr>
        <w:t xml:space="preserve">PLAN.  (a)  For the purposes of this chapter, a severe weather adaptation plan is a strategy to identify, minimize, and adequately prepare for the effects of increased incidence and prevalence of severe weather on the social, economic, and ecological systems of this state and to manage the risks associated severe weather. A plan under this section must be based on current research-based science that identifies the likely impacts of extreme weather events on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severe weather adaptation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severe weather vulnerability assessment;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review of existing programs in the context of anticipated severe weather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specific steps necessary for the entity to fulfill its mission during the anticipated severe weather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analysis of the effects implementing the steps identified under Subdivision (3) would have on the entity's budget during the next 2, 5, and 10 years;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potential sources of funding to support the entity's efforts to adapt to increased prevalence of severe weather;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statewide strategy to monitor the continuing effects of severe weather events.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 severe weather adaptation plan, each entity subject to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the Houston Advanced Research Center;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the Office of the Texas State Climatologist in the Department of Atmospheric Sciences, College of Geosciences, Texas A&amp;M University.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September 1 of each even-numbered year, each entity subject to this section shall post the entity's severe weather adaptation plan on a publicly accessible Internet website and electronically submit a copy of the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lieutenant governor, and speaker of the house of representatives;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presiding officer of each standing committee or subcommittee of the legislature with primary jurisdiction over environmental matters;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Texas Commission on Environmental Quality.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severe weather adaptation plan is subject to audit by the state auditor in accordance with Chapter 321,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