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w:t>
      </w:r>
      <w:r xml:space="preserve">
        <w:tab wTab="150" tlc="none" cTlc="0"/>
      </w:r>
      <w:r>
        <w:t xml:space="preserve">S.B.</w:t>
      </w:r>
      <w:r xml:space="preserve">
        <w:t> </w:t>
      </w:r>
      <w:r>
        <w:t xml:space="preserve">No.</w:t>
      </w:r>
      <w:r xml:space="preserve">
        <w:t> </w:t>
      </w:r>
      <w:r>
        <w:t xml:space="preserve">2384</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criminal defendants bail findings and post hearing evaluation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16.22, Code of Criminal Procedure, is amended by adding Subsection (a)(4) to read as follows: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defendant may request an evaluation under of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15.17, Code of Criminal Procedure, is amended by adding Subsections (g), (g-1), and (h)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a magistrate determines that a bond is required to ensure the defendant's return to court, the magistrate shall make a written statement regarding the method used to determine the bond amount.</w:t>
      </w:r>
    </w:p>
    <w:p w:rsidR="003F3435" w:rsidRDefault="0032493E">
      <w:pPr>
        <w:spacing w:line="480" w:lineRule="auto"/>
        <w:ind w:firstLine="720"/>
        <w:jc w:val="both"/>
      </w:pPr>
      <w:r>
        <w:rPr>
          <w:u w:val="single"/>
        </w:rPr>
        <w:t xml:space="preserve">(g-1)</w:t>
      </w:r>
      <w:r>
        <w:rPr>
          <w:u w:val="single"/>
        </w:rPr>
        <w:t xml:space="preserve"> </w:t>
      </w:r>
      <w:r>
        <w:rPr>
          <w:u w:val="single"/>
        </w:rPr>
        <w:t xml:space="preserve"> </w:t>
      </w:r>
      <w:r>
        <w:rPr>
          <w:u w:val="single"/>
        </w:rPr>
        <w:t xml:space="preserve">The written statement must include any findings related to the defendant's financial situation, mental health, or intellectual and developmental disability.</w:t>
      </w:r>
      <w:r>
        <w:t xml:space="preserve"> </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magistrate shall notify a defendant and make a good faith effort to notify the defendant's next of kin of the defendant's right to appeal based on any newly discovered findings regarding the defendant's financial situation, mental health, or intellectual and developmental disability.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