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88R2706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2386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electric cooperative to use the power of eminent domain to acquire certain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161.125, Utilities Code, is amended to read as follows:</w:t>
      </w:r>
    </w:p>
    <w:p w:rsidR="003F3435" w:rsidRDefault="0032493E">
      <w:pPr>
        <w:spacing w:line="480" w:lineRule="auto"/>
        <w:ind w:firstLine="720"/>
        <w:jc w:val="both"/>
      </w:pPr>
      <w:r>
        <w:t xml:space="preserve">Sec.</w:t>
      </w:r>
      <w:r xml:space="preserve">
        <w:t> </w:t>
      </w:r>
      <w:r>
        <w:t xml:space="preserve">161.125.</w:t>
      </w:r>
      <w:r xml:space="preserve">
        <w:t> </w:t>
      </w:r>
      <w:r xml:space="preserve">
        <w:t> </w:t>
      </w:r>
      <w:r>
        <w:t xml:space="preserve">EMINENT DOMAIN. </w:t>
      </w:r>
      <w:r>
        <w:t xml:space="preserve"> </w:t>
      </w:r>
      <w:r>
        <w:rPr>
          <w:u w:val="single"/>
        </w:rPr>
        <w:t xml:space="preserve">(a)</w:t>
      </w:r>
      <w:r>
        <w:t xml:space="preserve"> </w:t>
      </w:r>
      <w:r>
        <w:t xml:space="preserve"> </w:t>
      </w:r>
      <w:r>
        <w:t xml:space="preserve">An electric cooperative may exercise the power of eminent domain in the manner provided by state law for acquiring private property for public use. </w:t>
      </w:r>
      <w:r>
        <w:t xml:space="preserve"> </w:t>
      </w:r>
      <w:r>
        <w:t xml:space="preserve">The power does not apply to state property or property of a political subdivision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cooperative may not exercise the power of eminent domain to acquire an interest in real property to drill, mine, or produce from that property oil, gas, geothermal resources, geothermal/geopressured resources, or lignite, coal, sulphur, uranium, plutonium, or other minerals that belong to another person regardless of whether the material is in place or is in the process of being drilled, mined, or produced.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acquisition of real property in connection with an initial offer made under Section 21.0113, Property Code, on or after the effective date of this Act. </w:t>
      </w:r>
      <w:r>
        <w:t xml:space="preserve"> </w:t>
      </w:r>
      <w:r>
        <w:t xml:space="preserve">An acquisition of real property in connection with an initial offer made under Section 21.0113, Property Code, before the effective date of this Act is governed by the law applicable to the acquisition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