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2402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management, and administration of the Texas Pharmaceutical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2177.</w:t>
      </w:r>
      <w:r>
        <w:rPr>
          <w:u w:val="single"/>
        </w:rPr>
        <w:t xml:space="preserve"> </w:t>
      </w:r>
      <w:r>
        <w:rPr>
          <w:u w:val="single"/>
        </w:rPr>
        <w:t xml:space="preserve"> </w:t>
      </w:r>
      <w:r>
        <w:rPr>
          <w:u w:val="single"/>
        </w:rPr>
        <w:t xml:space="preserve">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"Initiative" means the Texas Pharmaceutical Initiative established in Sec.</w:t>
      </w:r>
      <w:r>
        <w:rPr>
          <w:u w:val="single"/>
        </w:rPr>
        <w:t xml:space="preserve"> </w:t>
      </w:r>
      <w:r>
        <w:rPr>
          <w:u w:val="single"/>
        </w:rPr>
        <w:t xml:space="preserve">2177.002.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governing board established in Sec.</w:t>
      </w:r>
      <w:r>
        <w:rPr>
          <w:u w:val="single"/>
        </w:rPr>
        <w:t xml:space="preserve"> </w:t>
      </w:r>
      <w:r>
        <w:rPr>
          <w:u w:val="single"/>
        </w:rPr>
        <w:t xml:space="preserve">2177.003.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ESTABLISHMENT.  The Texas Pharmaceutical Initiative is established to provide cost effective prescription drug access for employees, dependents, and retirees of public higher education systems and institutions, Employees Retirement System of Texas members, Teacher Retirement System of Texas members, persons confined by the Texas Department of Criminal Justice or the Texas Juvenile Justice Department, recipients of medical assistance, enrollees of the child health plan program, and other public, non-profit, and for-profit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w:t>
      </w:r>
      <w:r>
        <w:rPr>
          <w:u w:val="single"/>
        </w:rPr>
        <w:t xml:space="preserve">GOVERNING BOARD.(a)</w:t>
      </w:r>
      <w:r>
        <w:rPr>
          <w:u w:val="single"/>
        </w:rPr>
        <w:t xml:space="preserve"> </w:t>
      </w:r>
      <w:r>
        <w:rPr>
          <w:u w:val="single"/>
        </w:rPr>
        <w:t xml:space="preserve"> </w:t>
      </w:r>
      <w:r>
        <w:rPr>
          <w:u w:val="single"/>
        </w:rPr>
        <w:t xml:space="preserve">The initiative shall be governed by a board that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the Texas Health and Human Services Commission, or their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their designee;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their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three names submitted by the lieutenant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from a list of three names submitted by the speaker of the house of representatives;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chancellor of the University of Texas System, or the chancellor's designee, in an ex-officio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board shall be filled in the same manner as the original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administratively attached to the Health and Human Services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select the presiding officer of the board.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GENERAL DUTIES.  (a)  The board established under SECTION</w:t>
      </w:r>
      <w:r>
        <w:rPr>
          <w:u w:val="single"/>
        </w:rPr>
        <w:t xml:space="preserve"> </w:t>
      </w:r>
      <w:r>
        <w:rPr>
          <w:u w:val="single"/>
        </w:rPr>
        <w:t xml:space="preserve">2177.003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related programs established in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staff with applicable laws governing conflicts of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all necessary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all contracts and other documents, adopt all proceedings, and conduct all activities determined by the board to be necessary to carry out the purposes of this chapter.  The board may authorize one or more members of the board to execute contracts and other documents on behalf of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create any committees or other entities the board may deem necessary to exercise the powers provided in this act.  The board may delegate to such committees or other entities administrative duties and other powers as the board may deem necessary;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hire a chief executive officer and employ necessary staff to provide administrative support;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grants to provide funds to public or private persons to implement the Texas Pharmaceutical Initiative.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required to implement a provision of this chapter only if the legislature appropriates money specifically for that purpose. If the legislature does not appropriate money specifically for that purpose, the board may, but is not required to, implement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TRANSPARENT PHARMACY BENEFIT MANAGER.  (a)</w:t>
      </w:r>
      <w:r>
        <w:rPr>
          <w:u w:val="single"/>
        </w:rPr>
        <w:t xml:space="preserve"> </w:t>
      </w:r>
      <w:r>
        <w:rPr>
          <w:u w:val="single"/>
        </w:rPr>
        <w:t xml:space="preserve"> </w:t>
      </w:r>
      <w:r>
        <w:rPr>
          <w:u w:val="single"/>
        </w:rPr>
        <w:t xml:space="preserve">The board shall establish and implement a statewide transparent pharmacy benefit manager to provide cost-effective prescription drugs to entities and organizations served by the Initiative.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pharmacy benefit manager shall provide pricing transparency, pass-through of all rebates and fees, and fair and equitable pricing to any pharmacy that chooses to participate in the pharmacy benefit manager's pharmacy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pharmacy benefit manager shall contract with appropriate entities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evidence-based benefit design, prior authorization, and new drug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partner with suppliers, pharmaceutical manufacturers, and group purchasing organizations for competitive drug acquisition.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pharmacy benefit manager may charge fees for startup, enrollment, and ongoing management to support operational costs, program development, and expansion.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CENTRAL SERVICE CENTER AND SATELLITE DISTRIBUTION FACILITIES.  (a) The board shall establish and implement a central service center and associated network of satellite distribution facilities to provide pharmacy and medical supplies in support of Texas public higher education systems and institutions, the Employees Retirement System of Texas, the Teacher Retirement System of Texas, the Texas Department of Criminal Justice, the Texas Juvenile Justice Department, and other public, non-profit, and for-profit entities.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constructed to withstand severe weather, natural disasters, and power outages, and shall be capable of supporting disaster preparedness and relief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mail order pharmacy and specialty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assess a stock carrying charge, transaction fees, or other fees to support distribution and other operational costs, including overhead and margin.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order and specialty pharmacy may receive payment for dispensing prescription drugs and may assess dispensing, delivery, and handling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PHARMACEUTICAL ADVANCED PREPARATION FACILITY.  (a) The board shall establish a pharmaceutical advanced preparation facility to provide Food and Drug Administration approved 503B compounding, manufacturing, CAR-T and other gene therapies, precision medicine, and advanced labs for quality control, preparation and compounding in support of innovative therapeutics and drug research.</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be operated by a 501 c(3) established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facility may charge fees for drug preparation, manufacturing, CAR-T, gene therapy, and 503B compounding to support operational costs, including overhead and margin.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ADVANCED HEALTH CARE COST AND CLAIMS ANALYTIC SERVICES.  (a)  The board shall contract to provide advanced health care cost and claims analytic services to support the transparent pharmacy benefit manager, mail order and specialty pharmacies, central service center, and pharmaceutical advanced preparation facility established in this chapter, and to support population health and research.</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GENERIC DRUG MANUFACTURING FACILITY.  (a)</w:t>
      </w:r>
      <w:r>
        <w:rPr>
          <w:u w:val="single"/>
        </w:rPr>
        <w:t xml:space="preserve"> </w:t>
      </w:r>
      <w:r>
        <w:rPr>
          <w:u w:val="single"/>
        </w:rPr>
        <w:t xml:space="preserve"> </w:t>
      </w:r>
      <w:r>
        <w:rPr>
          <w:u w:val="single"/>
        </w:rPr>
        <w:t xml:space="preserve">The board may enter into an agreement to establish a facility providing for the manufacturing of generic drugs. In entering into an agreement, the board shall prioritize savings and access to affordable medications.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TEXAS PHARMACY INITIATIVE FUND.  (a)  The Texas Pharmaceutical Initiative Fund is created as a trust fund outside the treasury with the comptroller.  The fund consists of money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or donations to the executive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source appropriated or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utilize the fund for the purpose of carrying out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develop procedures for administration and approval of expenditures through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2177.011.</w:t>
      </w:r>
      <w:r>
        <w:rPr>
          <w:u w:val="single"/>
        </w:rPr>
        <w:t xml:space="preserve"> </w:t>
      </w:r>
      <w:r>
        <w:rPr>
          <w:u w:val="single"/>
        </w:rPr>
        <w:t xml:space="preserve"> </w:t>
      </w:r>
      <w:r>
        <w:rPr>
          <w:u w:val="single"/>
        </w:rPr>
        <w:t xml:space="preserve">GIFTS, GRANTS, AND DONATIONS.  The board may accept on behalf of the initiative gifts, grants, or donations from any public or private source for the purpose of carrying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2177.012.</w:t>
      </w:r>
      <w:r>
        <w:rPr>
          <w:u w:val="single"/>
        </w:rPr>
        <w:t xml:space="preserve"> </w:t>
      </w:r>
      <w:r>
        <w:rPr>
          <w:u w:val="single"/>
        </w:rPr>
        <w:t xml:space="preserve"> </w:t>
      </w:r>
      <w:r>
        <w:rPr>
          <w:u w:val="single"/>
        </w:rPr>
        <w:t xml:space="preserve">ANNUAL REPORT.  Not later than December 31 of each year, the board shall submit to the Texas Legislature a written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and objectives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 savings derived by state entities as a result of participation in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w:t>
      </w:r>
      <w:r xml:space="preserve">
        <w:t> </w:t>
      </w:r>
      <w:r>
        <w:t xml:space="preserve">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