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88R10917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2403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reporting regarding a school district's program for gifted and talented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29, Education Code, is amended by adding Section 29.124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29.124.</w:t>
      </w:r>
      <w:r>
        <w:rPr>
          <w:u w:val="single"/>
        </w:rPr>
        <w:t xml:space="preserve"> </w:t>
      </w:r>
      <w:r>
        <w:rPr>
          <w:u w:val="single"/>
        </w:rPr>
        <w:t xml:space="preserve"> </w:t>
      </w:r>
      <w:r>
        <w:rPr>
          <w:u w:val="single"/>
        </w:rPr>
        <w:t xml:space="preserve">PEIMS REPORTING REQUIREMENTS.  Each school district shall include the following information in the district's Public Education Information Management System (PEIMS) report: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contact information of the district administrator responsible for ensuring that the district is in compliance with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district uses data from an entire grade level to identify gifted and talented students;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grade levels for which the district identifies gifted and talented students as described by Subdivision (2).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39.306, Education Code, is amended by amending Subsection (d-1) and adding Subsection (d-2) to read as follows:</w:t>
      </w:r>
    </w:p>
    <w:p w:rsidR="003F3435" w:rsidRDefault="0032493E">
      <w:pPr>
        <w:spacing w:line="480" w:lineRule="auto"/>
        <w:ind w:firstLine="720"/>
        <w:jc w:val="both"/>
      </w:pPr>
      <w:r>
        <w:t xml:space="preserve">(d-1)</w:t>
      </w:r>
      <w:r xml:space="preserve">
        <w:t> </w:t>
      </w:r>
      <w:r xml:space="preserve">
        <w:t> </w:t>
      </w:r>
      <w:r>
        <w:rPr>
          <w:u w:val="single"/>
        </w:rPr>
        <w:t xml:space="preserve">The comparison provided by the agency under Subsection (d) must include a comparison of college, career, and military readiness achievement between students served in a program for gifted and talented students and students served in other programs.</w:t>
      </w:r>
    </w:p>
    <w:p w:rsidR="003F3435" w:rsidRDefault="0032493E">
      <w:pPr>
        <w:spacing w:line="480" w:lineRule="auto"/>
        <w:ind w:firstLine="720"/>
        <w:jc w:val="both"/>
      </w:pPr>
      <w:r>
        <w:rPr>
          <w:u w:val="single"/>
        </w:rPr>
        <w:t xml:space="preserve">(d-2)</w:t>
      </w:r>
      <w:r xml:space="preserve">
        <w:t> </w:t>
      </w:r>
      <w:r xml:space="preserve">
        <w:t> </w:t>
      </w:r>
      <w:r>
        <w:t xml:space="preserve">The report must also include the number of school counselors providing counseling services at each campus.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