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hospitals in certain counties to drill a water well for the purpose of producing water for use in the event of an emergency or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311, Health and Safety Code, is amended by adding Section 311.005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311.005.</w:t>
      </w:r>
      <w:r>
        <w:rPr>
          <w:u w:val="single"/>
        </w:rPr>
        <w:t xml:space="preserve"> </w:t>
      </w:r>
      <w:r>
        <w:rPr>
          <w:u w:val="single"/>
        </w:rPr>
        <w:t xml:space="preserve"> </w:t>
      </w:r>
      <w:r>
        <w:rPr>
          <w:u w:val="single"/>
        </w:rPr>
        <w:t xml:space="preserve">WATER WELLS FOR USE BY HOSPITALS IN CERTAIN COUNTIES IN EVENT OF EMERGENCY OR NATURAL DISASTER.  (a)  This section applies only to a hospital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250,000;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Neches River.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to which this section applies may drill a water well on property owned by the hospital for the purpose of producing water to supplement the hospital's water supply in the event that an emergency or natural disaster prevents the hospital from receiving water from the hospital's usual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 groundwater conservation district to regulate groundwater production under Chapter 36, Water Code, or other law governing a groundwater conservation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