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88R8870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licensure and training requirements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37.0813(f),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CERTAIN REQUIRED TRAINING PROVIDED BY ADVANCED LAW ENFORCEMENT RAPID RESPONSE TRAINING CENTER.  The Advanced Law Enforcement Rapid Response Training Center at Texas State University--San Marcos shall offer to a person participating in a school marshal training program under Section 1701.260, Occupations Code, a course of instruction designed to prepare the person to isolate, distract, and neutralize an active shooter.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1701.260, Occupations Code, is amended by amending Subsections (a), (a-1), and (i) and adding Subsections (a-2) and (c-1)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of a school district, open-enrollment charter school, private school, or public junior college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holds a license to carry a handgun issued under Subchapter H, Chapter 411, Government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retired peace officer, as defined by Section 1701.3161;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honorably discharged veteran of the armed forces of the United States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instruction required under Subsection (c)(5), the commission shall require a trainee to complete a course of instruction offered by the Advanced Law Enforcement Rapid Response Training Center at Texas State University--San Marcos that is designed to prepare the trainee to isolate, distract, and neutralize an active shooter.</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April 1, 2024, the Texas Commission on Law Enforcement shall develop a school marshal training program under Section 1701.260, Occupations Code, as amended by this Act, that may be offered over a number of consecutive Saturdays during a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