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lessee of property to appeal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41A, Tax Code, is amended by adding Section 41A.011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41A.011.</w:t>
      </w:r>
      <w:r>
        <w:rPr>
          <w:u w:val="single"/>
        </w:rPr>
        <w:t xml:space="preserve"> </w:t>
      </w:r>
      <w:r>
        <w:rPr>
          <w:u w:val="single"/>
        </w:rPr>
        <w:t xml:space="preserve"> </w:t>
      </w:r>
      <w:r>
        <w:rPr>
          <w:u w:val="single"/>
        </w:rPr>
        <w:t xml:space="preserve">RIGHT TO APPEAL BY PERSON LEASING PROPERTY.  (a) As an alternative to filing an appeal under Section 42.015, a person leasing property who is contractually obligated to reimburse the property owner for taxes imposed on the property is entitled to appeal through binding arbitration under this chapter an appraisal review board order determining a protest concerning the appraised or market value of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was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under Section 41.413;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if the property owner does not appeal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or market value, as applicable, of the property as determined by the order is $5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an order of the appraisal review board under this section is considered the owner of the property for purposes of the appeal. The chief appraiser shall deliver a copy of any notice relating to the appeal to the owner of the property and to the person bringing the appeal.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