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88R8168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deadline for an appraisal review board to deliver written notice of a hearing to determine whether good cause exists for the issuance of a subpoena.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41.61(c), Tax Code, is amended to read as follows:</w:t>
      </w:r>
    </w:p>
    <w:p w:rsidR="003F3435" w:rsidRDefault="0032493E">
      <w:pPr>
        <w:spacing w:line="480" w:lineRule="auto"/>
        <w:ind w:firstLine="720"/>
        <w:jc w:val="both"/>
      </w:pPr>
      <w:r>
        <w:t xml:space="preserve">(c)</w:t>
      </w:r>
      <w:r xml:space="preserve">
        <w:t> </w:t>
      </w:r>
      <w:r xml:space="preserve">
        <w:t> </w:t>
      </w:r>
      <w:r>
        <w:t xml:space="preserve">An appraisal review board may not issue a subpoena under this section unless the board holds a hearing at which the board determines that good cause exists for the issuance of the subpoena. </w:t>
      </w:r>
      <w:r>
        <w:t xml:space="preserve"> </w:t>
      </w:r>
      <w:r>
        <w:t xml:space="preserve">The appraisal review board before which a good cause hearing is scheduled shall deliver written notice to the party being subpoenaed and parties to the protest of the date, time, and place of the hearing. The board shall deliver the notice not later than the </w:t>
      </w:r>
      <w:r>
        <w:rPr>
          <w:u w:val="single"/>
        </w:rPr>
        <w:t xml:space="preserve">fifth business</w:t>
      </w:r>
      <w:r>
        <w:t xml:space="preserve"> [</w:t>
      </w:r>
      <w:r>
        <w:rPr>
          <w:strike/>
        </w:rPr>
        <w:t xml:space="preserve">5th</w:t>
      </w:r>
      <w:r>
        <w:t xml:space="preserve">] day before the date of the good cause hearing. </w:t>
      </w:r>
      <w:r>
        <w:t xml:space="preserve"> </w:t>
      </w:r>
      <w:r>
        <w:t xml:space="preserve">The party being subpoenaed must have an opportunity to be heard at the good cause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subpoena issued on or after the effective date of this Act. </w:t>
      </w:r>
      <w:r>
        <w:t xml:space="preserve"> </w:t>
      </w:r>
      <w:r>
        <w:t xml:space="preserve">A subpoena issued before the effective date of this Act is governed by the law in effect on the date the subpoena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