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88R2534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2417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on the effects of providing child life specialist services to certain individuals who receive supportive palliative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"Advisory council" means the Palliative Care Interdisciplinary Advisory Council established under Chapter 118, Health and Safety Code.</w:t>
      </w:r>
    </w:p>
    <w:p w:rsidR="003F3435" w:rsidRDefault="0032493E">
      <w:pPr>
        <w:spacing w:line="480" w:lineRule="auto"/>
        <w:ind w:firstLine="1440"/>
        <w:jc w:val="both"/>
      </w:pPr>
      <w:r>
        <w:t xml:space="preserve">(2)</w:t>
      </w:r>
      <w:r xml:space="preserve">
        <w:t> </w:t>
      </w:r>
      <w:r xml:space="preserve">
        <w:t> </w:t>
      </w:r>
      <w:r>
        <w:t xml:space="preserve">"Child life specialist" means a health care provider that offers psychosocial support to pediatric patients and to the children of seriously ill adult patients by helping improve a child's coping skills, aiding in the development of holistic pain management and other symptom management strategies for pediatric patients, and improving the overall patient experience.</w:t>
      </w:r>
    </w:p>
    <w:p w:rsidR="003F3435" w:rsidRDefault="0032493E">
      <w:pPr>
        <w:spacing w:line="480" w:lineRule="auto"/>
        <w:ind w:firstLine="1440"/>
        <w:jc w:val="both"/>
      </w:pPr>
      <w:r>
        <w:t xml:space="preserve">(3)</w:t>
      </w:r>
      <w:r xml:space="preserve">
        <w:t> </w:t>
      </w:r>
      <w:r xml:space="preserve">
        <w:t> </w:t>
      </w:r>
      <w:r>
        <w:t xml:space="preserve">"Commission" means the Health and Human Services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REGARDING CHILD LIFE SPECIALIST SERVICES.  (a)  The commission, in collaboration with the advisory council, shall conduct a study to assess the effects of supporting the use of child life specialist services by or providing child life specialist services to adult and child Medicaid recipients in this state who receive supportive palliative care in inpatient or community-based settings, including:</w:t>
      </w:r>
    </w:p>
    <w:p w:rsidR="003F3435" w:rsidRDefault="0032493E">
      <w:pPr>
        <w:spacing w:line="480" w:lineRule="auto"/>
        <w:ind w:firstLine="1440"/>
        <w:jc w:val="both"/>
      </w:pPr>
      <w:r>
        <w:t xml:space="preserve">(1)</w:t>
      </w:r>
      <w:r xml:space="preserve">
        <w:t> </w:t>
      </w:r>
      <w:r xml:space="preserve">
        <w:t> </w:t>
      </w:r>
      <w:r>
        <w:t xml:space="preserve">potential improvements to recipients' health care outcomes and quality of life; and</w:t>
      </w:r>
    </w:p>
    <w:p w:rsidR="003F3435" w:rsidRDefault="0032493E">
      <w:pPr>
        <w:spacing w:line="480" w:lineRule="auto"/>
        <w:ind w:firstLine="1440"/>
        <w:jc w:val="both"/>
      </w:pPr>
      <w:r>
        <w:t xml:space="preserve">(2)</w:t>
      </w:r>
      <w:r xml:space="preserve">
        <w:t> </w:t>
      </w:r>
      <w:r xml:space="preserve">
        <w:t> </w:t>
      </w:r>
      <w:r>
        <w:t xml:space="preserve">anticipated cost savings to this state.</w:t>
      </w:r>
    </w:p>
    <w:p w:rsidR="003F3435" w:rsidRDefault="0032493E">
      <w:pPr>
        <w:spacing w:line="480" w:lineRule="auto"/>
        <w:ind w:firstLine="720"/>
        <w:jc w:val="both"/>
      </w:pPr>
      <w:r>
        <w:t xml:space="preserve">(b)</w:t>
      </w:r>
      <w:r xml:space="preserve">
        <w:t> </w:t>
      </w:r>
      <w:r xml:space="preserve">
        <w:t> </w:t>
      </w:r>
      <w:r>
        <w:t xml:space="preserve">The study must identify:</w:t>
      </w:r>
    </w:p>
    <w:p w:rsidR="003F3435" w:rsidRDefault="0032493E">
      <w:pPr>
        <w:spacing w:line="480" w:lineRule="auto"/>
        <w:ind w:firstLine="1440"/>
        <w:jc w:val="both"/>
      </w:pPr>
      <w:r>
        <w:t xml:space="preserve">(1)</w:t>
      </w:r>
      <w:r xml:space="preserve">
        <w:t> </w:t>
      </w:r>
      <w:r xml:space="preserve">
        <w:t> </w:t>
      </w:r>
      <w:r>
        <w:t xml:space="preserve">the role child life specialists currently play in providing supportive palliative care services to individuals, including Medicaid recipients, in inpatient and community-based settings in this state;</w:t>
      </w:r>
    </w:p>
    <w:p w:rsidR="003F3435" w:rsidRDefault="0032493E">
      <w:pPr>
        <w:spacing w:line="480" w:lineRule="auto"/>
        <w:ind w:firstLine="1440"/>
        <w:jc w:val="both"/>
      </w:pPr>
      <w:r>
        <w:t xml:space="preserve">(2)</w:t>
      </w:r>
      <w:r xml:space="preserve">
        <w:t> </w:t>
      </w:r>
      <w:r xml:space="preserve">
        <w:t> </w:t>
      </w:r>
      <w:r>
        <w:t xml:space="preserve">the current funding method for child life specialist positions;</w:t>
      </w:r>
    </w:p>
    <w:p w:rsidR="003F3435" w:rsidRDefault="0032493E">
      <w:pPr>
        <w:spacing w:line="480" w:lineRule="auto"/>
        <w:ind w:firstLine="1440"/>
        <w:jc w:val="both"/>
      </w:pPr>
      <w:r>
        <w:t xml:space="preserve">(3)</w:t>
      </w:r>
      <w:r xml:space="preserve">
        <w:t> </w:t>
      </w:r>
      <w:r xml:space="preserve">
        <w:t> </w:t>
      </w:r>
      <w:r>
        <w:t xml:space="preserve">opportunities for increasing the use of child life specialist services in this state; and</w:t>
      </w:r>
    </w:p>
    <w:p w:rsidR="003F3435" w:rsidRDefault="0032493E">
      <w:pPr>
        <w:spacing w:line="480" w:lineRule="auto"/>
        <w:ind w:firstLine="1440"/>
        <w:jc w:val="both"/>
      </w:pPr>
      <w:r>
        <w:t xml:space="preserve">(4)</w:t>
      </w:r>
      <w:r xml:space="preserve">
        <w:t> </w:t>
      </w:r>
      <w:r xml:space="preserve">
        <w:t> </w:t>
      </w:r>
      <w:r>
        <w:t xml:space="preserve">best practices for using child life specialist services as developed by other states.</w:t>
      </w:r>
    </w:p>
    <w:p w:rsidR="003F3435" w:rsidRDefault="0032493E">
      <w:pPr>
        <w:spacing w:line="480" w:lineRule="auto"/>
        <w:ind w:firstLine="720"/>
        <w:jc w:val="both"/>
      </w:pPr>
      <w:r>
        <w:t xml:space="preserve">(c)</w:t>
      </w:r>
      <w:r xml:space="preserve">
        <w:t> </w:t>
      </w:r>
      <w:r xml:space="preserve">
        <w:t> </w:t>
      </w:r>
      <w:r>
        <w:t xml:space="preserve">The advisory council shall provide recommendations to the commission regarding the structure and goals of the study, including recommendations for:</w:t>
      </w:r>
    </w:p>
    <w:p w:rsidR="003F3435" w:rsidRDefault="0032493E">
      <w:pPr>
        <w:spacing w:line="480" w:lineRule="auto"/>
        <w:ind w:firstLine="1440"/>
        <w:jc w:val="both"/>
      </w:pPr>
      <w:r>
        <w:t xml:space="preserve">(1)</w:t>
      </w:r>
      <w:r xml:space="preserve">
        <w:t> </w:t>
      </w:r>
      <w:r xml:space="preserve">
        <w:t> </w:t>
      </w:r>
      <w:r>
        <w:t xml:space="preserve">specific populations to receive supportive palliative care under Medicaid;</w:t>
      </w:r>
    </w:p>
    <w:p w:rsidR="003F3435" w:rsidRDefault="0032493E">
      <w:pPr>
        <w:spacing w:line="480" w:lineRule="auto"/>
        <w:ind w:firstLine="1440"/>
        <w:jc w:val="both"/>
      </w:pPr>
      <w:r>
        <w:t xml:space="preserve">(2)</w:t>
      </w:r>
      <w:r xml:space="preserve">
        <w:t> </w:t>
      </w:r>
      <w:r xml:space="preserve">
        <w:t> </w:t>
      </w:r>
      <w:r>
        <w:t xml:space="preserve">variables and outcomes to measure in the study; and</w:t>
      </w:r>
    </w:p>
    <w:p w:rsidR="003F3435" w:rsidRDefault="0032493E">
      <w:pPr>
        <w:spacing w:line="480" w:lineRule="auto"/>
        <w:ind w:firstLine="1440"/>
        <w:jc w:val="both"/>
      </w:pPr>
      <w:r>
        <w:t xml:space="preserve">(3)</w:t>
      </w:r>
      <w:r xml:space="preserve">
        <w:t> </w:t>
      </w:r>
      <w:r xml:space="preserve">
        <w:t> </w:t>
      </w:r>
      <w:r>
        <w:t xml:space="preserve">entities, including hospitals, hospices, and home health agencies, with which the commission may collaborate to conduct the study.</w:t>
      </w:r>
    </w:p>
    <w:p w:rsidR="003F3435" w:rsidRDefault="0032493E">
      <w:pPr>
        <w:spacing w:line="480" w:lineRule="auto"/>
        <w:ind w:firstLine="720"/>
        <w:jc w:val="both"/>
      </w:pPr>
      <w:r>
        <w:t xml:space="preserve">(d)</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collaborate with private and public entities as necessary to conduct the study; and</w:t>
      </w:r>
    </w:p>
    <w:p w:rsidR="003F3435" w:rsidRDefault="0032493E">
      <w:pPr>
        <w:spacing w:line="480" w:lineRule="auto"/>
        <w:ind w:firstLine="1440"/>
        <w:jc w:val="both"/>
      </w:pPr>
      <w:r>
        <w:t xml:space="preserve">(2)</w:t>
      </w:r>
      <w:r xml:space="preserve">
        <w:t> </w:t>
      </w:r>
      <w:r xml:space="preserve">
        <w:t> </w:t>
      </w:r>
      <w:r>
        <w:t xml:space="preserve">solicit and accept gifts, grants, and donations from any public or private source to fund the study.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TO ADVISORY COUNCIL AND LEGISLATURE.  (a)  Not later than September 1, 2026, the commission shall prepare and submit to the advisory council a report on the results of the study conducted under this Act.</w:t>
      </w:r>
    </w:p>
    <w:p w:rsidR="003F3435" w:rsidRDefault="0032493E">
      <w:pPr>
        <w:spacing w:line="480" w:lineRule="auto"/>
        <w:ind w:firstLine="720"/>
        <w:jc w:val="both"/>
      </w:pPr>
      <w:r>
        <w:t xml:space="preserve">(b)</w:t>
      </w:r>
      <w:r xml:space="preserve">
        <w:t> </w:t>
      </w:r>
      <w:r xml:space="preserve">
        <w:t> </w:t>
      </w:r>
      <w:r>
        <w:t xml:space="preserve">The advisory council shall include the commission's report under Subsection (a) of this section in the advisory council's 2026 biennial report to the legislature required by Section 118.010, Health and Safety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December 31, 2026.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