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88R12270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2423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reporting by the Department of Family and Protective Services regarding youth in the managing conservatorship of the department who attempt suicide.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264.017(b),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 not later than February 1 of each year.  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20A, Penal Code, while in the managing conservatorship of the department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number of children who attempted suicide while in the managing conservatorship of the department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264.018(a)(4), Family Code, is amended to read as follows:</w:t>
      </w:r>
    </w:p>
    <w:p w:rsidR="003F3435" w:rsidRDefault="0032493E">
      <w:pPr>
        <w:spacing w:line="480" w:lineRule="auto"/>
        <w:ind w:firstLine="1440"/>
        <w:jc w:val="both"/>
      </w:pPr>
      <w:r>
        <w:t xml:space="preserve">(4)</w:t>
      </w:r>
      <w:r xml:space="preserve">
        <w:t> </w:t>
      </w:r>
      <w:r xml:space="preserve">
        <w:t> </w:t>
      </w:r>
      <w:r>
        <w:t xml:space="preserve">"Significant change in medical condition" means the occurrence of an injury or the onset of an illness that is life-threatening or may have serious long-term health consequences. </w:t>
      </w:r>
      <w:r>
        <w:t xml:space="preserve"> </w:t>
      </w:r>
      <w:r>
        <w:t xml:space="preserve">The term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occurrence or onset of an injury or illness that requires hospitalization for surgery or another procedure that is not minor emergency care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suicide attempt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