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2424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creation of the criminal offense of improper entry from foreign 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38.20. </w:t>
      </w:r>
      <w:r>
        <w:rPr>
          <w:u w:val="single"/>
        </w:rPr>
        <w:t xml:space="preserve"> </w:t>
      </w:r>
      <w:r>
        <w:rPr>
          <w:u w:val="single"/>
        </w:rPr>
        <w:t xml:space="preserve">IMPROPER ENTRY FROM FOREIGN NATION.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 citizen or national of the United State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attempts to enter this state from a foreign nation at any time or place other than as designated by United States immigration officers;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eludes examination or inspection by United States immigration officers;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attempts to enter or obtains entry to this state from a foreign nation by an intentionally false or misleading representation or the intentional concealment of a material fact.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misdemeanor, except that if it is shown on the trial of the offense that the person has previously been finally convicted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section, the offense is a state jail felony;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jail felony described by Subdivision (1) or any other felony not listed in Article 42A.054(a), Code of Criminal Procedure, the offense is a felony of the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listed in Article 42A.054(a), Code of Criminal Procedure, the offense is a felony of the first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July 1, 2023,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effect on that date the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