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2429</w:t>
      </w:r>
    </w:p>
    <w:p w:rsidR="003F3435" w:rsidRDefault="0032493E">
      <w:pPr>
        <w:ind w:firstLine="720"/>
        <w:jc w:val="both"/>
      </w:pPr>
      <w:r>
        <w:t xml:space="preserve">(Klick,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reporting procedures and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an adult unknown to the child's family or legal guardian</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prior occasions on which the child was reported missing</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circumstances considered when designating the child as high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escalate the response;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to Chapter 63, Code of Criminal Procedure, apply only to the report of a missing child or missing person that is made to a law enforcement agency on or after the effective date of this Act. </w:t>
      </w:r>
      <w:r>
        <w:t xml:space="preserve"> </w:t>
      </w:r>
      <w:r>
        <w:t xml:space="preserve">The report of a missing child or missing person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