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F, Chapter 38, Utilities Code, is amended to read as follows:</w:t>
      </w:r>
    </w:p>
    <w:p w:rsidR="003F3435" w:rsidRDefault="0032493E">
      <w:pPr>
        <w:spacing w:line="480" w:lineRule="auto"/>
        <w:jc w:val="center"/>
      </w:pPr>
      <w:r>
        <w:t xml:space="preserve">SUBCHAPTER F. [</w:t>
      </w:r>
      <w:r>
        <w:rPr>
          <w:strike/>
        </w:rPr>
        <w:t xml:space="preserve">TEXAS</w:t>
      </w:r>
      <w:r>
        <w:t xml:space="preserve">] ELECTRICITY SUPPLY CHAIN SECURITY AND MAPPING [</w:t>
      </w:r>
      <w:r>
        <w:rPr>
          <w:strike/>
        </w:rPr>
        <w:t xml:space="preserve">COMMITTEE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public safety director of the Department of Public Safety; and</w:t>
      </w:r>
    </w:p>
    <w:p w:rsidR="003F3435" w:rsidRDefault="0032493E">
      <w:pPr>
        <w:spacing w:line="480" w:lineRule="auto"/>
        <w:ind w:firstLine="1440"/>
        <w:jc w:val="both"/>
      </w:pPr>
      <w:r>
        <w:rPr>
          <w:u w:val="single"/>
        </w:rPr>
        <w:t xml:space="preserve">(5)</w:t>
      </w:r>
      <w:r xml:space="preserve">
        <w:t> </w:t>
      </w:r>
      <w:r xml:space="preserve">
        <w:t> </w:t>
      </w:r>
      <w:r>
        <w:t xml:space="preserve">the chief of the Texas Division of Emergency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PHYSICAL SECURITY OF SUBSTATIONS.  (a) The commission shall require each electric cooperative, municipally owned utility, and transmission and distribution utility to include in the cooperative's or utility's emergency operations plan described by Section 186.007 information about the physical security of the cooperative's or utility's critical substations and contact information for each law enforcement agency with jurisdiction over the critical substations.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the Department of Public Safety with access to the information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provided to the commission or the Department of Public Safety under this section is confidential under Section 418.181, Government Code,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