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2023S0286-1  03/09/23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2445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latex gloves by certain health care and food service personnel.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G, Title 4, Health and Safety Code, is amended by adding Chapter 328 to read as follows:</w:t>
      </w:r>
    </w:p>
    <w:p w:rsidR="003F3435" w:rsidRDefault="0032493E">
      <w:pPr>
        <w:spacing w:line="480" w:lineRule="auto"/>
        <w:jc w:val="center"/>
      </w:pPr>
      <w:r>
        <w:rPr>
          <w:u w:val="single"/>
        </w:rPr>
        <w:t xml:space="preserve">CHAPTER 328.  USE OF LATEX GLOVES IN CERTAIN HEALTH CARE FACILITIES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328.001.</w:t>
      </w:r>
      <w:r>
        <w:rPr>
          <w:u w:val="single"/>
        </w:rPr>
        <w:t xml:space="preserve"> </w:t>
      </w:r>
      <w:r>
        <w:rPr>
          <w:u w:val="single"/>
        </w:rPr>
        <w:t xml:space="preserve"> </w:t>
      </w:r>
      <w:r>
        <w:rPr>
          <w:u w:val="single"/>
        </w:rPr>
        <w:t xml:space="preserve">DEFINITION.  In this chapter, "health care facility" means a hospital, emergency clinic, outpatient clinic, birthing center, or ambulatory surgical center.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328.002.</w:t>
      </w:r>
      <w:r>
        <w:rPr>
          <w:u w:val="single"/>
        </w:rPr>
        <w:t xml:space="preserve"> </w:t>
      </w:r>
      <w:r>
        <w:rPr>
          <w:u w:val="single"/>
        </w:rPr>
        <w:t xml:space="preserve"> </w:t>
      </w:r>
      <w:r>
        <w:rPr>
          <w:u w:val="single"/>
        </w:rPr>
        <w:t xml:space="preserve">USE OF LATEX GLOVES.  Except as provided by Section 328.003, an individual providing patient care in a health care facility shall, to the extent possible, prioritize using  non-latex gloves when treating a patient.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328.003.</w:t>
      </w:r>
      <w:r>
        <w:rPr>
          <w:u w:val="single"/>
        </w:rPr>
        <w:t xml:space="preserve"> </w:t>
      </w:r>
      <w:r>
        <w:rPr>
          <w:u w:val="single"/>
        </w:rPr>
        <w:t xml:space="preserve"> </w:t>
      </w:r>
      <w:r>
        <w:rPr>
          <w:u w:val="single"/>
        </w:rPr>
        <w:t xml:space="preserve">EXCEPTION.  Section 328.002 does not apply during a crisis or supply chain disruption affecting the health care facility's ability to reliably source non-latex gloves.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438.034, Health and Safety Code, is amended by adding Subsections (c), (d), and (e)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Subsections (d) and (e), if a food service establishment receives notice that someone on the property has a latex allergy, the employees of the food service establishment who handle food or unsealed food containers offered for public sale or consumption shall, to the extent possible, prioritize using available non-latex gloves while handling the food or containers. This provision does not create a private cause of action or change any common law or statutory duty.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(c) does not apply during a crisis or supply chain disruption affecting the food service establishment's ability to reliably source non-latex gloves.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Subsection (c) does not apply to a food service establishment that is located in a hospital or primarily provides services to a hospital.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773, Health and Safety Code, is amended by adding Section 773.018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773.018.</w:t>
      </w:r>
      <w:r>
        <w:rPr>
          <w:u w:val="single"/>
        </w:rPr>
        <w:t xml:space="preserve"> </w:t>
      </w:r>
      <w:r>
        <w:rPr>
          <w:u w:val="single"/>
        </w:rPr>
        <w:t xml:space="preserve"> </w:t>
      </w:r>
      <w:r>
        <w:rPr>
          <w:u w:val="single"/>
        </w:rPr>
        <w:t xml:space="preserve">PROHIBITED USE OF LATEX GLOVES.  (a)  Except as provided by Subsections (b) and (d), emergency medical services personnel may not use latex gloves when providing emergency medical care to an individual.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during a crisis or supply chain disruption affecting the ability of emergency medical services personnel to reliably source non-latex gloves.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During a crisis or supply chain disruption described by Subsection (b), emergency medical services personnel shall, to the extent possible, prioritize using available non-latex gloves to treat a patient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indicates the patient has a latex allergy;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unconscious or otherwise physically unable to communicate and whose medical history: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indicates the patient has a latex allergy;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insufficient to indicate whether the patient has a latex allergy.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apply to emergency medical services personnel employed by a hospital.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executive commissioner of the Health and Human Services Commission may adopt rules necessary to implement the changes in law made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Notwithstanding Sections 328.002, 438.034(c), and 773.018(a), Health and Safety Code, as added by this Act, individuals providing patient care in a health care facility, employees of a food service establishment, or emergency medical services personnel are not required to comply with those provisions until January 1, 2024.</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