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2446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the plumbing licensing law for plumbing work performed on certain private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1301, Occupations Code, is amended by adding Section 1301.059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1301.059.</w:t>
      </w:r>
      <w:r>
        <w:rPr>
          <w:u w:val="single"/>
        </w:rPr>
        <w:t xml:space="preserve"> </w:t>
      </w:r>
      <w:r>
        <w:rPr>
          <w:u w:val="single"/>
        </w:rPr>
        <w:t xml:space="preserve"> </w:t>
      </w:r>
      <w:r>
        <w:rPr>
          <w:u w:val="single"/>
        </w:rPr>
        <w:t xml:space="preserve">PLUMBING ON CERTAIN PRIVATE PROPERTY.  (a) </w:t>
      </w:r>
      <w:r>
        <w:rPr>
          <w:u w:val="single"/>
        </w:rPr>
        <w:t xml:space="preserve"> </w:t>
      </w:r>
      <w:r>
        <w:rPr>
          <w:u w:val="single"/>
        </w:rPr>
        <w:t xml:space="preserve">A person is not required to be licensed under this chapter to perform plumbing work consisting of installing, servicing, or repairing service mains, service lines, appurtenances, equipment, or appliances that provide water, sewer, or storm drainage services on private property in an area that extends from a public right-of-way or public easement to not less than five feet from a building or 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plumbing work performed on private property designated for use as a one-family or two-family dwelling.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