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2451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personal information entered on the carrier envelope of a ballot to be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86.002, Election Code, is amended by adding Subsection (d-1) and amending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instructions to be printed on the balloting materials for marking the ballot envelope with the information required under Subsection (g).  The instructions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printed in at least a 10-point font;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include the text "V.U.I.D." next to the space for the ID number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the statement:  A voter registration number (V.U.I.D.) does not satisfy the requirement and should not be printed on the carrier envelope."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carrier envelope must include a space</w:t>
      </w:r>
      <w:r>
        <w:rPr>
          <w:u w:val="single"/>
        </w:rPr>
        <w:t xml:space="preserve">, at least one half inch in height and two inches in width,</w:t>
      </w:r>
      <w:r>
        <w:t xml:space="preserve"> that is hidden from view when the envelope is sealed for the voter to enter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the voter's driver's license, election identification certificate, or personal identification card issued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voter has not been issued a number described by Subdivision (1), the last four digits of the voter's social security number;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