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early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61.002(c), Election Code, is amended to read as follows:</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w:t>
      </w:r>
      <w:r>
        <w:rPr>
          <w:u w:val="single"/>
        </w:rPr>
        <w:t xml:space="preserve">and on the last day of early voting by personal appearance</w:t>
      </w:r>
      <w:r>
        <w:t xml:space="preserve">, the presiding election judge or alternate election judge shall print the tape to show the number of votes cast for each candidate or ballot measure for each voting machine.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w:t>
      </w:r>
      <w:r>
        <w:rPr>
          <w:u w:val="single"/>
        </w:rPr>
        <w:t xml:space="preserve">eighth</w:t>
      </w:r>
      <w:r>
        <w:t xml:space="preserve"> [</w:t>
      </w:r>
      <w:r>
        <w:rPr>
          <w:strike/>
        </w:rPr>
        <w:t xml:space="preserve">17th</w:t>
      </w:r>
      <w:r>
        <w:t xml:space="preserve">] day before election day and continues through the [</w:t>
      </w:r>
      <w:r>
        <w:rPr>
          <w:strike/>
        </w:rPr>
        <w:t xml:space="preserve">fourth</w:t>
      </w:r>
      <w:r>
        <w:t xml:space="preserve">] day before election day, except as otherwise provided by this section.</w:t>
      </w:r>
    </w:p>
    <w:p w:rsidR="003F3435" w:rsidRDefault="0032493E">
      <w:pPr>
        <w:spacing w:line="480" w:lineRule="auto"/>
        <w:ind w:firstLine="720"/>
        <w:jc w:val="both"/>
      </w:pPr>
      <w:r>
        <w:t xml:space="preserve">(c)</w:t>
      </w:r>
      <w:r xml:space="preserve">
        <w:t> </w:t>
      </w:r>
      <w:r xml:space="preserve">
        <w:t> </w:t>
      </w:r>
      <w:r>
        <w:t xml:space="preserve">If the date prescribed by Subsection (a) [</w:t>
      </w:r>
      <w:r>
        <w:rPr>
          <w:strike/>
        </w:rPr>
        <w:t xml:space="preserve">or (b)</w:t>
      </w:r>
      <w:r>
        <w:t xml:space="preserve">] for beginning the period is a Saturday, Sunday, or legal state holiday, the early voting period begins on the next regular business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85.033, Election Code, is amended to read as follows:</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w:t>
      </w:r>
      <w:r>
        <w:rPr>
          <w:u w:val="single"/>
        </w:rPr>
        <w:t xml:space="preserve">(a)</w:t>
      </w:r>
      <w:r>
        <w:t xml:space="preserve">  At the close of early voting each day, the early voting clerk shall secure each voting machine used for early voting in the manner prescribed by the secretary of state so that its unauthorized operation is prevented.  The clerk shall unsecure the machine before the beginning of early voting the following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closing and securing of voting machines shall be done in the same manner as required by provisions of this code pertaining to election 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85.001(b) and (e), Election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