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2474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for violations of statutes or rules governing chemical dependency treatment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464.017(a),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or facility is subject to a civil penalty of not more than $25,000 for each day of violation and for each act of violation of this subchapter or a rule adopted under this subchapter. </w:t>
      </w:r>
      <w:r>
        <w:t xml:space="preserve">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person's or facility's ability to pay the penalty;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or facility's license is not revoked under Section 464.014 because of the violation, the ability of the person or facility to continue providing services under this chapter after paying the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464.019(c) and (s),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person's ability to pay the penalty;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license is not revoked under Section 464.014 because of the violation, the person's ability to continue providing services under this chapter after paying the penalty;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degree of the person's culpability in causing the violation; and</w:t>
      </w:r>
    </w:p>
    <w:p w:rsidR="003F3435" w:rsidRDefault="0032493E">
      <w:pPr>
        <w:spacing w:line="480" w:lineRule="auto"/>
        <w:ind w:firstLine="1440"/>
        <w:jc w:val="both"/>
      </w:pPr>
      <w:r>
        <w:rPr>
          <w:u w:val="single"/>
        </w:rPr>
        <w:t xml:space="preserve">(9)</w:t>
      </w:r>
      <w:r xml:space="preserve">
        <w:t> </w:t>
      </w:r>
      <w:r xml:space="preserve">
        <w:t> </w:t>
      </w:r>
      <w:r>
        <w:t xml:space="preserve">any other matter that justice may require.</w:t>
      </w:r>
    </w:p>
    <w:p w:rsidR="003F3435" w:rsidRDefault="0032493E">
      <w:pPr>
        <w:spacing w:line="480" w:lineRule="auto"/>
        <w:ind w:firstLine="720"/>
        <w:jc w:val="both"/>
      </w:pPr>
      <w:r>
        <w:t xml:space="preserve">(s)</w:t>
      </w:r>
      <w:r xml:space="preserve">
        <w:t> </w:t>
      </w:r>
      <w:r xml:space="preserve">
        <w:t> </w:t>
      </w:r>
      <w:r>
        <w:t xml:space="preserve">The commission shall post on the commission's Internet website current administrative penalty schedules applicable to a person licensed or regulated under this chapter. </w:t>
      </w:r>
      <w:r>
        <w:t xml:space="preserve"> </w:t>
      </w:r>
      <w:r>
        <w:t xml:space="preserve">The commission shall ensure that the administrative penalties listed in the posted schedules are accurate. </w:t>
      </w:r>
      <w:r>
        <w:t xml:space="preserve"> </w:t>
      </w:r>
      <w:r>
        <w:rPr>
          <w:u w:val="single"/>
        </w:rPr>
        <w:t xml:space="preserve">The administrative penalty schedules must be based on a consideration of the economic impact of a penalty assessed against a person licensed or regulated under this chapter and the factors described by Subsection (c).</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violation that occurs on or after the effective date of this Act. </w:t>
      </w:r>
      <w:r>
        <w:t xml:space="preserve"> </w:t>
      </w:r>
      <w:r>
        <w:t xml:space="preserve">A violation that occurred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