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2479</w:t>
      </w:r>
    </w:p>
    <w:p w:rsidR="003F3435" w:rsidRDefault="0032493E">
      <w:pPr>
        <w:ind w:firstLine="720"/>
        <w:jc w:val="both"/>
      </w:pPr>
      <w:r>
        <w:t xml:space="preserve">(Moody)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regarding certain persons who are or may be persons with a mental illness or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16.22(a), (b-2), and (d),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Not later than 12 hours after the sheriff or municipal jailer having custody of a defendant [</w:t>
      </w:r>
      <w:r>
        <w:rPr>
          <w:strike/>
        </w:rPr>
        <w:t xml:space="preserve">for an offense punishable as a Class B misdemeanor or any higher category of offense</w:t>
      </w:r>
      <w:r>
        <w:t xml:space="preserv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w:t>
      </w:r>
      <w:r>
        <w:t xml:space="preserve"> </w:t>
      </w:r>
      <w:r>
        <w:t xml:space="preserve">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rsidR="003F3435" w:rsidRDefault="0032493E">
      <w:pPr>
        <w:spacing w:line="480" w:lineRule="auto"/>
        <w:ind w:firstLine="1440"/>
        <w:jc w:val="both"/>
      </w:pPr>
      <w:r>
        <w:t xml:space="preserve">(2)</w:t>
      </w:r>
      <w:r xml:space="preserve">
        <w:t> </w:t>
      </w:r>
      <w:r xml:space="preserve">
        <w:t> </w:t>
      </w:r>
      <w:r>
        <w:t xml:space="preserve">The magistrate is not required to order the interview and collection of other information under Subdivision (1) if the defendant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 longer in custody</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 if the defendant</w:t>
      </w:r>
      <w:r>
        <w:t xml:space="preserve">] 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 described by Subdivision (1)</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only arrested or charged with an offense punishable as a Class C misdemeanor</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A court that elects to use the results of </w:t>
      </w:r>
      <w:r>
        <w:rPr>
          <w:u w:val="single"/>
        </w:rPr>
        <w:t xml:space="preserve">a</w:t>
      </w:r>
      <w:r>
        <w:t xml:space="preserve"> </w:t>
      </w:r>
      <w:r>
        <w:t xml:space="preserve">[</w:t>
      </w:r>
      <w:r>
        <w:rPr>
          <w:strike/>
        </w:rPr>
        <w:t xml:space="preserve">that previous</w:t>
      </w:r>
      <w:r>
        <w:t xml:space="preserve">] determination </w:t>
      </w:r>
      <w:r>
        <w:rPr>
          <w:u w:val="single"/>
        </w:rPr>
        <w:t xml:space="preserve">described by Subdivision (2)(B)</w:t>
      </w:r>
      <w:r>
        <w:t xml:space="preserve"> may proceed under Subsection (c).</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  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whether there is clinical evidence to support a belief that the defendant may be incompetent to stand trial and should undergo a complete competency examination under Subchapter B, Chapter 46B;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ordering an examination regarding the defendant's competency to stand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w:t>
      </w:r>
      <w:r>
        <w:rPr>
          <w:u w:val="single"/>
        </w:rPr>
        <w:t xml:space="preserve">17.032,</w:t>
      </w:r>
      <w:r>
        <w:t xml:space="preserve">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573.012, Health and Safety Code, is amended by adding Subsection (d-1)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peace officer who transports an apprehended person to a facility in accordance with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w:t>
      </w:r>
      <w:r>
        <w:rPr>
          <w:u w:val="single"/>
        </w:rPr>
        <w:t xml:space="preserve"> </w:t>
      </w:r>
      <w:r>
        <w:rPr>
          <w:u w:val="single"/>
        </w:rPr>
        <w:t xml:space="preserve">the person is medically screened or treated or while the</w:t>
      </w:r>
      <w:r>
        <w:rPr>
          <w:u w:val="single"/>
        </w:rPr>
        <w:t xml:space="preserve"> </w:t>
      </w:r>
      <w:r>
        <w:rPr>
          <w:u w:val="single"/>
        </w:rPr>
        <w:t xml:space="preserve">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peace officer provides to the facility the required documentation.</w:t>
      </w:r>
      <w:r>
        <w:t xml:space="preserve"> </w:t>
      </w:r>
    </w:p>
    <w:p w:rsidR="003F3435" w:rsidRDefault="0032493E">
      <w:pPr>
        <w:spacing w:line="480" w:lineRule="auto"/>
        <w:ind w:firstLine="720"/>
        <w:jc w:val="both"/>
      </w:pPr>
      <w:r>
        <w:t xml:space="preserve">(h)</w:t>
      </w:r>
      <w:r xml:space="preserve">
        <w:t> </w:t>
      </w:r>
      <w:r xml:space="preserve">
        <w:t> </w:t>
      </w:r>
      <w:r>
        <w:t xml:space="preserve">A judge or magistrate may permit an applicant who is a physician </w:t>
      </w:r>
      <w:r>
        <w:rPr>
          <w:u w:val="single"/>
        </w:rPr>
        <w:t xml:space="preserve">or a licensed mental health professional employed by a local mental health authority</w:t>
      </w:r>
      <w:r>
        <w:t xml:space="preserve">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574.106, Health and Safety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order issued under this section authorizes the taking of a patient's blood sample to conduct reasonable and medically necessary evaluations and laboratory tests to safely administer a psychoactive medication authorized by the order.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