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Criminal Justice;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2479</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procedures regarding certain persons who are or may be persons with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16.22(a), (b-2), and (d),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r>
        <w:t xml:space="preserve">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 longer in custody</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 if the defendant</w:t>
      </w:r>
      <w:r>
        <w:t xml:space="preserve">]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only arrested or charged with an offense punishable as a Class C misdemeanor</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A court that elects to use the results of </w:t>
      </w:r>
      <w:r>
        <w:rPr>
          <w:u w:val="single"/>
        </w:rPr>
        <w:t xml:space="preserve">a</w:t>
      </w:r>
      <w:r>
        <w:t xml:space="preserve"> </w:t>
      </w:r>
      <w:r>
        <w:t xml:space="preserve">[</w:t>
      </w:r>
      <w:r>
        <w:rPr>
          <w:strike/>
        </w:rPr>
        <w:t xml:space="preserve">that previous</w:t>
      </w:r>
      <w:r>
        <w:t xml:space="preserve">] determination </w:t>
      </w:r>
      <w:r>
        <w:rPr>
          <w:u w:val="single"/>
        </w:rPr>
        <w:t xml:space="preserve">described by Subdivision (2)(B)</w:t>
      </w:r>
      <w:r>
        <w:t xml:space="preserve"> may proceed under Subsection (c).</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w:t>
      </w:r>
      <w:r>
        <w:rPr>
          <w:u w:val="single"/>
        </w:rPr>
        <w:t xml:space="preserve">17.032,</w:t>
      </w:r>
      <w:r>
        <w:t xml:space="preserve">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573.012, Health and Safety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peace officer who transports an apprehended person to a facility in accordance with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w:t>
      </w:r>
      <w:r>
        <w:rPr>
          <w:u w:val="single"/>
        </w:rPr>
        <w:t xml:space="preserve"> </w:t>
      </w:r>
      <w:r>
        <w:rPr>
          <w:u w:val="single"/>
        </w:rPr>
        <w:t xml:space="preserve">the person is medically screened or treated or while the</w:t>
      </w:r>
      <w:r>
        <w:rPr>
          <w:u w:val="single"/>
        </w:rPr>
        <w:t xml:space="preserve"> </w:t>
      </w:r>
      <w:r>
        <w:rPr>
          <w:u w:val="single"/>
        </w:rPr>
        <w:t xml:space="preserve">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peace officer provides to the facility the required documentation.</w:t>
      </w:r>
      <w:r>
        <w:t xml:space="preserve"> </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w:t>
      </w:r>
      <w:r>
        <w:rPr>
          <w:u w:val="single"/>
        </w:rPr>
        <w:t xml:space="preserve">or a licensed mental health professional employed by a local mental health authority</w:t>
      </w:r>
      <w:r>
        <w:t xml:space="preserve">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574.106, Health and Safety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