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88R9350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2480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training for peace officers on investigating criminal offenses involving elderly victims.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1701.253, Occupations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As part of the minimum curriculum requirements, the commission shall require an officer to complete the training program established under Section 1701.272. </w:t>
      </w:r>
      <w:r>
        <w:rPr>
          <w:u w:val="single"/>
        </w:rPr>
        <w:t xml:space="preserve"> </w:t>
      </w:r>
      <w:r>
        <w:rPr>
          <w:u w:val="single"/>
        </w:rPr>
        <w:t xml:space="preserve">An officer shall complete the program not later than the last day of the first full continuing education training period that begins on or after the date the officer is licensed under this chapter unless the officer completes the program as part of the officer's basic training course.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1701, Occupations Code, is amended by adding Section 1701.272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1701.272.</w:t>
      </w:r>
      <w:r>
        <w:rPr>
          <w:u w:val="single"/>
        </w:rPr>
        <w:t xml:space="preserve"> </w:t>
      </w:r>
      <w:r>
        <w:rPr>
          <w:u w:val="single"/>
        </w:rPr>
        <w:t xml:space="preserve"> </w:t>
      </w:r>
      <w:r>
        <w:rPr>
          <w:u w:val="single"/>
        </w:rPr>
        <w:t xml:space="preserve">TRAINING PROGRAM ON INVESTIGATING CRIMINAL OFFENSES INVOLVING ELDERLY VICTIMS.  (a) </w:t>
      </w:r>
      <w:r>
        <w:rPr>
          <w:u w:val="single"/>
        </w:rPr>
        <w:t xml:space="preserve"> </w:t>
      </w:r>
      <w:r>
        <w:rPr>
          <w:u w:val="single"/>
        </w:rPr>
        <w:t xml:space="preserve">The commission by rule shall require an officer to complete a one-time training program on investigating criminal offenses in which the victim or intended victim was 65 years of age or older at the time of the offense. </w:t>
      </w:r>
      <w:r>
        <w:rPr>
          <w:u w:val="single"/>
        </w:rPr>
        <w:t xml:space="preserve"> </w:t>
      </w:r>
      <w:r>
        <w:rPr>
          <w:u w:val="single"/>
        </w:rPr>
        <w:t xml:space="preserve">The commission shall establish the training program required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training program required by Subsection (a)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procedures for reporting suspected abuse, neglect, or exploitation of an elderly person to the adult protective services division of the Department of Family and Protective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material on identifying potential decision-making capacity impairments affecting an elderly victim.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1701.253(q), Occupations Code, as added by this Act, applies only to a person who submits an application for a peace officer license under Chapter 1701, Occupations Code, on or after January 1, 2024. </w:t>
      </w:r>
      <w:r>
        <w:t xml:space="preserve"> </w:t>
      </w:r>
      <w:r>
        <w:t xml:space="preserve">A person who submits an application for a peace officer license under Chapter 1701, Occupations Code, before January 1, 2024, is governed by the law in effect immediately before that date,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 later than January 1, 2024, the Texas Commission on Law Enforcement shall establish the training program required by Section 1701.272, Occupations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