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2484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contracts or other agreements involving the receipt of certain tax incentives by certain foreign-owned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w:t>
      </w:r>
      <w:r>
        <w:rPr>
          <w:u w:val="single"/>
        </w:rPr>
        <w:t xml:space="preserve"> </w:t>
      </w:r>
      <w:r>
        <w:rPr>
          <w:u w:val="single"/>
        </w:rPr>
        <w:t xml:space="preserve"> </w:t>
      </w:r>
      <w:r>
        <w:rPr>
          <w:u w:val="single"/>
        </w:rPr>
        <w:t xml:space="preserve">PROHIBITION ON CONTRACTS INVOLVING RECEIPT OF TAX INCENTIVES BY CERTAIN FOREIGN-OWNED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means a state agency or political subdivision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"Tax incentive" has the meaning assigned by Section 490G.001.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PROHIBITED CONTRACTS.  (a)  A governmental entity may not enter into a contract or other agreement relating to tax incentives in this state with a company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under the contract or other agreement, the company would receive or be granted tax incentives from the governmental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entity knows that the company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or the majority of stock or other ownership interest of the company is held or controlled by a company or other entity, including a governmental entity, that is directly controlled by the government of China, Iran, North Korea, or Russia;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headquartered in China, Iran, North Korea, or Russia.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described by Subsection (a) applies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company's or its parent company's securities are publicly traded;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or its parent company is listed on a public stock exchange as a Chinese, Iranian, North Korean, or Russian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2278.003.</w:t>
      </w:r>
      <w:r>
        <w:rPr>
          <w:u w:val="single"/>
        </w:rPr>
        <w:t xml:space="preserve"> </w:t>
      </w:r>
      <w:r>
        <w:rPr>
          <w:u w:val="single"/>
        </w:rPr>
        <w:t xml:space="preserve"> </w:t>
      </w:r>
      <w:r>
        <w:rPr>
          <w:u w:val="single"/>
        </w:rPr>
        <w:t xml:space="preserve">ASSISTANCE BY ECONOMIC INCENTIVE OVERSIGHT BOARD.  On request, the Economic Incentive Oversight Board established under Chapter 490G shall, not later than the 60th business day after the request, provide a governmental entity with information to identify companies that may be prohibited from contracting with a governmental entity under Section 2278.002.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entered into on or after the effective date of this Act.</w:t>
      </w:r>
      <w:r xml:space="preserve">
        <w:t> </w:t>
      </w:r>
      <w:r xml:space="preserve">
        <w:t> </w:t>
      </w:r>
      <w:r>
        <w:t xml:space="preserve">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