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88R13490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2489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prevocational services under certain Medicaid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32.0755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32.0755.</w:t>
      </w:r>
      <w:r>
        <w:rPr>
          <w:u w:val="single"/>
        </w:rPr>
        <w:t xml:space="preserve"> </w:t>
      </w:r>
      <w:r>
        <w:rPr>
          <w:u w:val="single"/>
        </w:rPr>
        <w:t xml:space="preserve"> </w:t>
      </w:r>
      <w:r>
        <w:rPr>
          <w:u w:val="single"/>
        </w:rPr>
        <w:t xml:space="preserve">PREVOCATIONAL SERVICES UNDER CERTAIN WAIVER PROGRAMS.  (a) </w:t>
      </w:r>
      <w:r>
        <w:rPr>
          <w:u w:val="single"/>
        </w:rPr>
        <w:t xml:space="preserve"> </w:t>
      </w:r>
      <w:r>
        <w:rPr>
          <w:u w:val="single"/>
        </w:rPr>
        <w:t xml:space="preserve">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Prevocational services provided under the community living assistance and support services (CLASS) waiver program or another medical assistance waiver program providing long-term services or supports to a medical assistance recipient must be designed to assist the recipient in achieving permanent integrated employment receiving compensation at or above the minimum wage in the recipient's community and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determining a recipient's eligibility for individualized skills and socialization services under a medical assistance program providing long-term services or supports to recipients under the medical assistance program, habilitation services include prevocational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