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88R9527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2494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election marshals and enforcing violations of elections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273, Election Code, is amended by adding Subchapter F to read as follows:</w:t>
      </w:r>
    </w:p>
    <w:p w:rsidR="003F3435" w:rsidRDefault="0032493E">
      <w:pPr>
        <w:spacing w:line="480" w:lineRule="auto"/>
        <w:jc w:val="center"/>
      </w:pPr>
      <w:r>
        <w:rPr>
          <w:u w:val="single"/>
        </w:rPr>
        <w:t xml:space="preserve">SUBCHAPTER F. ELECTION MARSHALS AND VIOLATION REPORTING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273.101.</w:t>
      </w:r>
      <w:r>
        <w:rPr>
          <w:u w:val="single"/>
        </w:rPr>
        <w:t xml:space="preserve"> </w:t>
      </w:r>
      <w:r>
        <w:rPr>
          <w:u w:val="single"/>
        </w:rPr>
        <w:t xml:space="preserve"> </w:t>
      </w:r>
      <w:r>
        <w:rPr>
          <w:u w:val="single"/>
        </w:rPr>
        <w:t xml:space="preserve">APPOINTMENT OF ELECTION MARSHALS.  (a)  The Department of Public Safety shall appoint election marshals to be located throughout the state for an election held in this state for an office of the state or federal government.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qualified as an election marshal,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commissioned officer of the Texas Rangers, or a Department of Public Safety officer if the Department of Public Safety determines that additional election marshals are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received training in election law from the secretary of state's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election marshal serves a term no shorter than 90 days, ending on election day.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an election marshal for a runoff primary election serves a term beginning not earlier than the date the election is ordered and ending on runoff primary election day.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(c), if a special election is ordered after the 90th day before election day, including an emergency election to fill a vacancy under Section 203.004, an election marshal serves a term beginning not earlier than the date the election is ordered and ending on election day.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273.102.</w:t>
      </w:r>
      <w:r>
        <w:rPr>
          <w:u w:val="single"/>
        </w:rPr>
        <w:t xml:space="preserve"> </w:t>
      </w:r>
      <w:r>
        <w:rPr>
          <w:u w:val="single"/>
        </w:rPr>
        <w:t xml:space="preserve"> </w:t>
      </w:r>
      <w:r>
        <w:rPr>
          <w:u w:val="single"/>
        </w:rPr>
        <w:t xml:space="preserve">ESTABLISHMENT OF SECRETARY OF STATE CLEARINGHOUSE.  (a)  The secretary of state shall maintain a staff to serve as a clearinghouse for election officials and the public to report alleged violations of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report of an alleged violation of this code, the secretary of state's clearinghouse staff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alleged violation is credible;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 each credible alleged violation to an appropriate election marshal for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273.103.</w:t>
      </w:r>
      <w:r>
        <w:rPr>
          <w:u w:val="single"/>
        </w:rPr>
        <w:t xml:space="preserve"> </w:t>
      </w:r>
      <w:r>
        <w:rPr>
          <w:u w:val="single"/>
        </w:rPr>
        <w:t xml:space="preserve"> </w:t>
      </w:r>
      <w:r>
        <w:rPr>
          <w:u w:val="single"/>
        </w:rPr>
        <w:t xml:space="preserve">ELECTION MARSHAL DUTIES.  (a)  Election marshals established under Section 273.101 shall perform their election marshal duties in addition to their regular employment.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election marshal shall promptly investigate an alleged violation of this code that is referred by the clearinghouse under Section 273.102(b).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election marshal investigates an alleged violation of this code and finds probable cause exists that a violation of this code is occurring or is likely to occur, the marshal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a probable cause affidavit;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 the affidavit with the attorney general and a county or district attorney with jurisdiction over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copy to the elections division of the secretary of state's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election marshal may receive and act upon requests directly from the secretary of state's office during early voting by personal appearance and on election day, and shall respond to a request not later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hours after receiving the request during early voting by personal appearance;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hour after receiving the request on election day.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order to ensure compliance with this code, election marshals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exercise all lawful means to enforce the provisions of this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arrests necessary to prevent the violation from occurring or continuing.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Election marshals may request clarification of this code from the secretary of state's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273.104.</w:t>
      </w:r>
      <w:r>
        <w:rPr>
          <w:u w:val="single"/>
        </w:rPr>
        <w:t xml:space="preserve"> </w:t>
      </w:r>
      <w:r>
        <w:rPr>
          <w:u w:val="single"/>
        </w:rPr>
        <w:t xml:space="preserve"> </w:t>
      </w:r>
      <w:r>
        <w:rPr>
          <w:u w:val="single"/>
        </w:rPr>
        <w:t xml:space="preserve">INVESTIGATION AND PROSECUTION OF ALLEGATION.  (a)  On receipt of a probable cause affidavit from an election marshal: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or district attorney having jurisdiction shall investigate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general may investigate the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investigation provides sufficient evidence to prosecute, the county or district attorney shall be responsible for prosecuting the case.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if requested to do so by the prosecuting attorney, may assist in the investigation or prosecution of an offense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273.105.</w:t>
      </w:r>
      <w:r>
        <w:rPr>
          <w:u w:val="single"/>
        </w:rPr>
        <w:t xml:space="preserve"> </w:t>
      </w:r>
      <w:r>
        <w:rPr>
          <w:u w:val="single"/>
        </w:rPr>
        <w:t xml:space="preserve"> </w:t>
      </w:r>
      <w:r>
        <w:rPr>
          <w:u w:val="single"/>
        </w:rPr>
        <w:t xml:space="preserve">REPORTING OF ALLEGED VIOLATIONS BY CANDIDATES, POLITICAL PARTIES, OR ELECTION OFFICIALS.  A candidate, a political party, or an election official may bring an alleged violation of this code to the clearinghouse, the attorney general, or a local county or district attorney with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273.106.</w:t>
      </w:r>
      <w:r>
        <w:rPr>
          <w:u w:val="single"/>
        </w:rPr>
        <w:t xml:space="preserve"> </w:t>
      </w:r>
      <w:r>
        <w:rPr>
          <w:u w:val="single"/>
        </w:rPr>
        <w:t xml:space="preserve"> </w:t>
      </w:r>
      <w:r>
        <w:rPr>
          <w:u w:val="single"/>
        </w:rPr>
        <w:t xml:space="preserve">JUDICIAL REMEDIES.  This subchapter may not be construed to limit the ability of any interested party from seeking judicial remedies for alleged violations of this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