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88R3766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of tolls on portions of State Highway 146 and State Highway 99.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228, Transportation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 LIMITATION ON TOLL FACILITY DESIGNATION</w:t>
      </w:r>
      <w:r>
        <w:rPr>
          <w:u w:val="single"/>
        </w:rPr>
        <w:t xml:space="preserve">, TOLL COLLECTION, AND</w:t>
      </w:r>
      <w:r>
        <w:t xml:space="preserve"> [</w:t>
      </w:r>
      <w:r>
        <w:rPr>
          <w:strike/>
        </w:rPr>
        <w:t xml:space="preserve">;</w:t>
      </w:r>
      <w:r>
        <w:t xml:space="preserve">] CONVERSION OF NONTOLLED STATE HIGHWAY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228, Transportation Code, is amended by adding Section 228.202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228.202.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TOLLS PROHIBITED ON PORTIONS OF STATE HIGHWAY 146 AND STATE HIGHWAY 99.  The department may not charge a toll, either directly or indirectly through an agreement with another entity,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portion of State Highway 146 that crosses the Houston Ship Channel;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portion of State Highway 99 between its intersection with State Highway 146 and its intersection with Interstate Highway 10.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