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48.105, Education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review school districts that offer alternative language methods approved by the agency under Section 29.054(d) and approve districts to receive the allotment under Subsection (a-2) for that biennium in a manner that provides not more than $10 million total under the allotment to school districts in each biennium. </w:t>
      </w:r>
      <w:r>
        <w:rPr>
          <w:u w:val="single"/>
        </w:rPr>
        <w:t xml:space="preserve"> </w:t>
      </w:r>
      <w:r>
        <w:rPr>
          <w:u w:val="single"/>
        </w:rPr>
        <w:t xml:space="preserve">In approving school districts to receive the allotment under this subsection, the agency shall, to the extent possible, approve eligible school districts from a cross section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student in average daily attendance in an alternative language method approved by the agency under Section 29.054(d), and offered by a school district approved to receive the allotment under Subsection (a-1), the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0.15 for an emergent bilingual student, as defined by Section 29.052, if the student is in an alternative language method using a dual language immersion/one-way or two-way program model;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0.05 for a student not described by Subdivision (1), if the student is in an alternative language method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