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2505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cultural advancement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444, Government Code, is amended by adding Subchapter CC to read as follows:</w:t>
      </w:r>
      <w:r xml:space="preserve">
        <w:t> </w:t>
      </w:r>
    </w:p>
    <w:p w:rsidR="003F3435" w:rsidRDefault="0032493E">
      <w:pPr>
        <w:spacing w:line="480" w:lineRule="auto"/>
        <w:ind w:firstLine="720"/>
        <w:jc w:val="both"/>
      </w:pPr>
      <w:r>
        <w:rPr>
          <w:u w:val="single"/>
        </w:rPr>
        <w:t xml:space="preserve">SUBCHAPTER CC.  CULTURAL ADVANCEMENT FUND PROGRAM</w:t>
      </w:r>
      <w:r>
        <w:t xml:space="preserve"> </w:t>
      </w:r>
    </w:p>
    <w:p w:rsidR="003F3435" w:rsidRDefault="0032493E">
      <w:pPr>
        <w:spacing w:line="480" w:lineRule="auto"/>
        <w:ind w:firstLine="720"/>
        <w:jc w:val="both"/>
      </w:pPr>
      <w:r>
        <w:rPr>
          <w:u w:val="single"/>
        </w:rPr>
        <w:t xml:space="preserve">Sec.444.033.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on the Arts.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"Cultural advancement" means any efforts that promote and support the sustainability of any culture in the State of Texas, including a culture's art, dance, music, or history.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purposes of this section, "culture" means any nationality, racial, or ethnic group.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"Fund" means the cultural advancement fund created under Section 444.034.</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444.034.</w:t>
      </w:r>
      <w:r>
        <w:rPr>
          <w:u w:val="single"/>
        </w:rPr>
        <w:t xml:space="preserve"> </w:t>
      </w:r>
      <w:r>
        <w:rPr>
          <w:u w:val="single"/>
        </w:rPr>
        <w:t xml:space="preserve"> </w:t>
      </w:r>
      <w:r>
        <w:rPr>
          <w:u w:val="single"/>
        </w:rPr>
        <w:t xml:space="preserve">CULTURAL ADVANCEMENT FUND.  (a) The commission shall establish and administer the Cultural Advancement Fund as a dedicated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amounts shall be deposited in the fund:</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any money appropriated by the legislature for the fund for purposes of this chapter;</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interest earned on the investment of money in the fund; and</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gifts, grants, and donations received for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444.035.</w:t>
      </w:r>
      <w:r>
        <w:rPr>
          <w:u w:val="single"/>
        </w:rPr>
        <w:t xml:space="preserve"> </w:t>
      </w:r>
      <w:r>
        <w:rPr>
          <w:u w:val="single"/>
        </w:rPr>
        <w:t xml:space="preserve"> </w:t>
      </w:r>
      <w:r>
        <w:rPr>
          <w:u w:val="single"/>
        </w:rPr>
        <w:t xml:space="preserve">GRANT PROGRAM.  (a) The commission shall establish and administer the Cultural Advancement Fund grant program to benefit cultural centers, nonprofit corporations defined by section 22.001, Business Organizations Code, art venues, museums, or other entities that spur economic development through cultural advancement.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receive a grant under the grant program,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in a manner prescribed by commission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under the laws of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a legitimate need for the grant.</w:t>
      </w:r>
    </w:p>
    <w:p w:rsidR="003F3435" w:rsidRDefault="0032493E">
      <w:pPr>
        <w:spacing w:line="480" w:lineRule="auto"/>
        <w:ind w:firstLine="720"/>
        <w:jc w:val="both"/>
      </w:pPr>
      <w:r>
        <w:rPr>
          <w:u w:val="single"/>
        </w:rPr>
        <w:t xml:space="preserve">Sec.444.036. </w:t>
      </w:r>
      <w:r>
        <w:rPr>
          <w:u w:val="single"/>
        </w:rPr>
        <w:t xml:space="preserve"> </w:t>
      </w:r>
      <w:r>
        <w:rPr>
          <w:u w:val="single"/>
        </w:rPr>
        <w:t xml:space="preserve">USES OF GRANT.  A grant recipient may use the grant received under this subchapter for any expense needed to promote cultural advancement, including costs related to payroll, programming, remodeling, and renovating facilities.</w:t>
      </w:r>
    </w:p>
    <w:p w:rsidR="003F3435" w:rsidRDefault="0032493E">
      <w:pPr>
        <w:spacing w:line="480" w:lineRule="auto"/>
        <w:ind w:firstLine="720"/>
        <w:jc w:val="both"/>
      </w:pPr>
      <w:r>
        <w:rPr>
          <w:u w:val="single"/>
        </w:rPr>
        <w:t xml:space="preserve">Sec.444.037. </w:t>
      </w:r>
      <w:r>
        <w:rPr>
          <w:u w:val="single"/>
        </w:rPr>
        <w:t xml:space="preserve"> </w:t>
      </w:r>
      <w:r>
        <w:rPr>
          <w:u w:val="single"/>
        </w:rPr>
        <w:t xml:space="preserve">RULES.  The commission shall adopt rules necessary to implement this subchapter.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and not later than September 1, 2024, the Commission on the Arts shall adopt rules necessary to implement Subchapter CC, Chapter 444, Government Code, as added by this Act.</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September 1, 2023.</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