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King, 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2509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enforcement of the regulation of social media platforms.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120, Business &amp; Commerce Code, is amended by adding Sections 120.152 and 120.153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120.152.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ATTORNEY GENERAL INVESTIGATIVE AUTHORITY.  If the attorney general has reason to believe that a person has engaged in, is engaging in, or is about to engage in a violation of this chapter, the attorney general may issue a civil investigative demand.  The procedures established for the issuance of a civil investigative demand under Section 15.10 apply to the same extent and manner to the issuance of a civil investigative demand under this section.  The attorney general may seek an order from the district court compelling compliance with a civil investigative demand issued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120.153.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DECEPTIVE TRADE PRACTICE.  A violation of this chapter is a false, misleading, or deceptive act or practice under Subchapter E, Chapter 17, and is actionable under that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2509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